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562323806"/>
        <w:docPartObj>
          <w:docPartGallery w:val="Cover Pages"/>
          <w:docPartUnique/>
        </w:docPartObj>
      </w:sdtPr>
      <w:sdtEndPr/>
      <w:sdtContent>
        <w:p w14:paraId="2CAC0384" w14:textId="77777777" w:rsidR="00C3255B" w:rsidRPr="00104712" w:rsidRDefault="00B65212" w:rsidP="00104712">
          <w:pPr>
            <w:jc w:val="both"/>
            <w:rPr>
              <w:rFonts w:ascii="Arial" w:hAnsi="Arial" w:cs="Arial"/>
            </w:rPr>
          </w:pPr>
          <w:r w:rsidRPr="00104712">
            <w:rPr>
              <w:rFonts w:ascii="Arial" w:hAnsi="Arial" w:cs="Arial"/>
              <w:noProof/>
              <w:lang w:eastAsia="en-GB"/>
            </w:rPr>
            <w:drawing>
              <wp:anchor distT="0" distB="0" distL="114300" distR="114300" simplePos="0" relativeHeight="251656192" behindDoc="1" locked="0" layoutInCell="1" allowOverlap="1" wp14:anchorId="03B44BE2" wp14:editId="36CFC87C">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0">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5E0FAB9A" w14:textId="77777777" w:rsidR="00C3255B" w:rsidRPr="00104712" w:rsidRDefault="007019B5" w:rsidP="00104712">
          <w:pPr>
            <w:jc w:val="both"/>
            <w:rPr>
              <w:rFonts w:ascii="Arial" w:hAnsi="Arial" w:cs="Arial"/>
            </w:rPr>
          </w:pPr>
          <w:r w:rsidRPr="00104712">
            <w:rPr>
              <w:rFonts w:ascii="Arial" w:hAnsi="Arial" w:cs="Arial"/>
              <w:noProof/>
              <w:lang w:eastAsia="en-GB"/>
            </w:rPr>
            <mc:AlternateContent>
              <mc:Choice Requires="wps">
                <w:drawing>
                  <wp:anchor distT="0" distB="0" distL="114300" distR="114300" simplePos="0" relativeHeight="251658240" behindDoc="0" locked="0" layoutInCell="1" allowOverlap="1" wp14:anchorId="5C4B1D67" wp14:editId="0C6F8A7F">
                    <wp:simplePos x="0" y="0"/>
                    <wp:positionH relativeFrom="margin">
                      <wp:posOffset>1905000</wp:posOffset>
                    </wp:positionH>
                    <wp:positionV relativeFrom="paragraph">
                      <wp:posOffset>3343274</wp:posOffset>
                    </wp:positionV>
                    <wp:extent cx="4732655" cy="4410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4410075"/>
                            </a:xfrm>
                            <a:prstGeom prst="rect">
                              <a:avLst/>
                            </a:prstGeom>
                            <a:noFill/>
                            <a:ln w="6350">
                              <a:noFill/>
                            </a:ln>
                          </wps:spPr>
                          <wps:txbx>
                            <w:txbxContent>
                              <w:p w14:paraId="61F8E390" w14:textId="6BD267D1" w:rsidR="00C3255B" w:rsidRPr="000F35C9" w:rsidRDefault="00104712"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Freedom of Information Act and Environmental Information Regulations Policy</w:t>
                                </w:r>
                              </w:p>
                              <w:p w14:paraId="2B6FD7A6" w14:textId="2A4A98B6" w:rsidR="00104712" w:rsidRDefault="00FA4401" w:rsidP="00104712">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Woodlands Surgery</w:t>
                                </w:r>
                              </w:p>
                              <w:p w14:paraId="614172EC" w14:textId="26E2BE33" w:rsidR="00104712" w:rsidRDefault="00104712" w:rsidP="00104712">
                                <w:pPr>
                                  <w:jc w:val="right"/>
                                  <w:rPr>
                                    <w:rFonts w:asciiTheme="majorHAnsi" w:hAnsiTheme="majorHAnsi" w:cstheme="majorHAnsi"/>
                                    <w:color w:val="663588"/>
                                    <w:spacing w:val="20"/>
                                    <w:sz w:val="52"/>
                                    <w:szCs w:val="52"/>
                                  </w:rPr>
                                </w:pPr>
                              </w:p>
                              <w:p w14:paraId="63A764AB" w14:textId="65075349" w:rsidR="00104712" w:rsidRPr="00104712" w:rsidRDefault="00104712" w:rsidP="00104712">
                                <w:pPr>
                                  <w:jc w:val="right"/>
                                  <w:rPr>
                                    <w:rFonts w:asciiTheme="majorHAnsi" w:hAnsiTheme="majorHAnsi" w:cstheme="majorHAnsi"/>
                                    <w:color w:val="663588"/>
                                    <w:spacing w:val="20"/>
                                    <w:sz w:val="36"/>
                                    <w:szCs w:val="36"/>
                                  </w:rPr>
                                </w:pPr>
                                <w:r w:rsidRPr="00104712">
                                  <w:rPr>
                                    <w:rFonts w:asciiTheme="majorHAnsi" w:hAnsiTheme="majorHAnsi" w:cstheme="majorHAnsi"/>
                                    <w:color w:val="663588"/>
                                    <w:spacing w:val="20"/>
                                    <w:sz w:val="36"/>
                                    <w:szCs w:val="36"/>
                                  </w:rPr>
                                  <w:t>Version: 1.1</w:t>
                                </w:r>
                              </w:p>
                              <w:p w14:paraId="6512FDDF" w14:textId="0CEB4B7A" w:rsidR="00104712" w:rsidRPr="00104712" w:rsidRDefault="00104712" w:rsidP="00104712">
                                <w:pPr>
                                  <w:jc w:val="right"/>
                                  <w:rPr>
                                    <w:rFonts w:asciiTheme="majorHAnsi" w:hAnsiTheme="majorHAnsi" w:cstheme="majorHAnsi"/>
                                    <w:color w:val="663588"/>
                                    <w:spacing w:val="20"/>
                                    <w:sz w:val="36"/>
                                    <w:szCs w:val="36"/>
                                  </w:rPr>
                                </w:pPr>
                                <w:r w:rsidRPr="00104712">
                                  <w:rPr>
                                    <w:rFonts w:asciiTheme="majorHAnsi" w:hAnsiTheme="majorHAnsi" w:cstheme="majorHAnsi"/>
                                    <w:color w:val="663588"/>
                                    <w:spacing w:val="20"/>
                                    <w:sz w:val="36"/>
                                    <w:szCs w:val="36"/>
                                  </w:rPr>
                                  <w:t>Last Updated: 26/04/2021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B1D67" id="_x0000_t202" coordsize="21600,21600" o:spt="202" path="m,l,21600r21600,l21600,xe">
                    <v:stroke joinstyle="miter"/>
                    <v:path gradientshapeok="t" o:connecttype="rect"/>
                  </v:shapetype>
                  <v:shape id="Text Box 3" o:spid="_x0000_s1026" type="#_x0000_t202" style="position:absolute;left:0;text-align:left;margin-left:150pt;margin-top:263.25pt;width:372.65pt;height:34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" filled="f" stroked="f" strokeweight=".5pt">
                    <v:textbox>
                      <w:txbxContent>
                        <w:p w14:paraId="61F8E390" w14:textId="6BD267D1" w:rsidR="00C3255B" w:rsidRPr="000F35C9" w:rsidRDefault="00104712"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Freedom of Information Act and Environmental Information Regulations Policy</w:t>
                          </w:r>
                        </w:p>
                        <w:p w14:paraId="2B6FD7A6" w14:textId="2A4A98B6" w:rsidR="00104712" w:rsidRDefault="00FA4401" w:rsidP="00104712">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Woodlands Surgery</w:t>
                          </w:r>
                        </w:p>
                        <w:p w14:paraId="614172EC" w14:textId="26E2BE33" w:rsidR="00104712" w:rsidRDefault="00104712" w:rsidP="00104712">
                          <w:pPr>
                            <w:jc w:val="right"/>
                            <w:rPr>
                              <w:rFonts w:asciiTheme="majorHAnsi" w:hAnsiTheme="majorHAnsi" w:cstheme="majorHAnsi"/>
                              <w:color w:val="663588"/>
                              <w:spacing w:val="20"/>
                              <w:sz w:val="52"/>
                              <w:szCs w:val="52"/>
                            </w:rPr>
                          </w:pPr>
                        </w:p>
                        <w:p w14:paraId="63A764AB" w14:textId="65075349" w:rsidR="00104712" w:rsidRPr="00104712" w:rsidRDefault="00104712" w:rsidP="00104712">
                          <w:pPr>
                            <w:jc w:val="right"/>
                            <w:rPr>
                              <w:rFonts w:asciiTheme="majorHAnsi" w:hAnsiTheme="majorHAnsi" w:cstheme="majorHAnsi"/>
                              <w:color w:val="663588"/>
                              <w:spacing w:val="20"/>
                              <w:sz w:val="36"/>
                              <w:szCs w:val="36"/>
                            </w:rPr>
                          </w:pPr>
                          <w:r w:rsidRPr="00104712">
                            <w:rPr>
                              <w:rFonts w:asciiTheme="majorHAnsi" w:hAnsiTheme="majorHAnsi" w:cstheme="majorHAnsi"/>
                              <w:color w:val="663588"/>
                              <w:spacing w:val="20"/>
                              <w:sz w:val="36"/>
                              <w:szCs w:val="36"/>
                            </w:rPr>
                            <w:t>Version: 1.1</w:t>
                          </w:r>
                        </w:p>
                        <w:p w14:paraId="6512FDDF" w14:textId="0CEB4B7A" w:rsidR="00104712" w:rsidRPr="00104712" w:rsidRDefault="00104712" w:rsidP="00104712">
                          <w:pPr>
                            <w:jc w:val="right"/>
                            <w:rPr>
                              <w:rFonts w:asciiTheme="majorHAnsi" w:hAnsiTheme="majorHAnsi" w:cstheme="majorHAnsi"/>
                              <w:color w:val="663588"/>
                              <w:spacing w:val="20"/>
                              <w:sz w:val="36"/>
                              <w:szCs w:val="36"/>
                            </w:rPr>
                          </w:pPr>
                          <w:r w:rsidRPr="00104712">
                            <w:rPr>
                              <w:rFonts w:asciiTheme="majorHAnsi" w:hAnsiTheme="majorHAnsi" w:cstheme="majorHAnsi"/>
                              <w:color w:val="663588"/>
                              <w:spacing w:val="20"/>
                              <w:sz w:val="36"/>
                              <w:szCs w:val="36"/>
                            </w:rPr>
                            <w:t>Last Updated: 26/04/2021</w:t>
                          </w:r>
                        </w:p>
                      </w:txbxContent>
                    </v:textbox>
                    <w10:wrap anchorx="margin"/>
                  </v:shape>
                </w:pict>
              </mc:Fallback>
            </mc:AlternateContent>
          </w:r>
          <w:r w:rsidR="00C3255B" w:rsidRPr="00104712">
            <w:rPr>
              <w:rFonts w:ascii="Arial" w:hAnsi="Arial" w:cs="Arial"/>
            </w:rPr>
            <w:br w:type="page"/>
          </w:r>
        </w:p>
      </w:sdtContent>
    </w:sdt>
    <w:sdt>
      <w:sdtPr>
        <w:rPr>
          <w:rFonts w:asciiTheme="minorHAnsi" w:eastAsiaTheme="minorHAnsi" w:hAnsiTheme="minorHAnsi" w:cstheme="minorBidi"/>
          <w:color w:val="auto"/>
          <w:sz w:val="22"/>
          <w:szCs w:val="22"/>
          <w:lang w:val="en-GB"/>
        </w:rPr>
        <w:id w:val="-1495105845"/>
        <w:docPartObj>
          <w:docPartGallery w:val="Table of Contents"/>
          <w:docPartUnique/>
        </w:docPartObj>
      </w:sdtPr>
      <w:sdtEndPr>
        <w:rPr>
          <w:b/>
          <w:bCs/>
          <w:noProof/>
        </w:rPr>
      </w:sdtEndPr>
      <w:sdtContent>
        <w:p w14:paraId="0F570046" w14:textId="6F70BF8C" w:rsidR="00173BB5" w:rsidRPr="00173BB5" w:rsidRDefault="00173BB5">
          <w:pPr>
            <w:pStyle w:val="TOCHeading"/>
            <w:rPr>
              <w:rFonts w:ascii="Arial" w:hAnsi="Arial" w:cs="Arial"/>
              <w:b/>
              <w:bCs/>
              <w:sz w:val="28"/>
              <w:szCs w:val="28"/>
            </w:rPr>
          </w:pPr>
          <w:r w:rsidRPr="00173BB5">
            <w:rPr>
              <w:rFonts w:ascii="Arial" w:hAnsi="Arial" w:cs="Arial"/>
              <w:b/>
              <w:bCs/>
              <w:sz w:val="28"/>
              <w:szCs w:val="28"/>
            </w:rPr>
            <w:t>Contents</w:t>
          </w:r>
        </w:p>
        <w:p w14:paraId="6C268504" w14:textId="0B91BE15" w:rsidR="00173BB5" w:rsidRPr="00173BB5" w:rsidRDefault="00173BB5">
          <w:pPr>
            <w:pStyle w:val="TOC1"/>
            <w:rPr>
              <w:rFonts w:ascii="Arial" w:eastAsiaTheme="minorEastAsia" w:hAnsi="Arial" w:cs="Arial"/>
              <w:b w:val="0"/>
              <w:bCs w:val="0"/>
              <w:lang w:eastAsia="en-GB"/>
            </w:rPr>
          </w:pPr>
          <w:r w:rsidRPr="00173BB5">
            <w:rPr>
              <w:rFonts w:ascii="Arial" w:hAnsi="Arial" w:cs="Arial"/>
            </w:rPr>
            <w:fldChar w:fldCharType="begin"/>
          </w:r>
          <w:r w:rsidRPr="00173BB5">
            <w:rPr>
              <w:rFonts w:ascii="Arial" w:hAnsi="Arial" w:cs="Arial"/>
            </w:rPr>
            <w:instrText xml:space="preserve"> TOC \o "1-3" \h \z \u </w:instrText>
          </w:r>
          <w:r w:rsidRPr="00173BB5">
            <w:rPr>
              <w:rFonts w:ascii="Arial" w:hAnsi="Arial" w:cs="Arial"/>
            </w:rPr>
            <w:fldChar w:fldCharType="separate"/>
          </w:r>
          <w:hyperlink w:anchor="_Toc70318362" w:history="1">
            <w:r w:rsidRPr="00173BB5">
              <w:rPr>
                <w:rStyle w:val="Hyperlink"/>
                <w:rFonts w:ascii="Arial" w:hAnsi="Arial" w:cs="Arial"/>
                <w:b w:val="0"/>
                <w:bCs w:val="0"/>
                <w:color w:val="auto"/>
              </w:rPr>
              <w:t>1.0</w:t>
            </w:r>
            <w:r w:rsidRPr="00173BB5">
              <w:rPr>
                <w:rFonts w:ascii="Arial" w:eastAsiaTheme="minorEastAsia" w:hAnsi="Arial" w:cs="Arial"/>
                <w:b w:val="0"/>
                <w:bCs w:val="0"/>
                <w:lang w:eastAsia="en-GB"/>
              </w:rPr>
              <w:tab/>
            </w:r>
            <w:r w:rsidRPr="00173BB5">
              <w:rPr>
                <w:rStyle w:val="Hyperlink"/>
                <w:rFonts w:ascii="Arial" w:hAnsi="Arial" w:cs="Arial"/>
                <w:b w:val="0"/>
                <w:bCs w:val="0"/>
                <w:color w:val="auto"/>
              </w:rPr>
              <w:t>Introduction</w:t>
            </w:r>
            <w:r w:rsidRPr="00173BB5">
              <w:rPr>
                <w:rFonts w:ascii="Arial" w:hAnsi="Arial" w:cs="Arial"/>
                <w:b w:val="0"/>
                <w:bCs w:val="0"/>
                <w:webHidden/>
              </w:rPr>
              <w:tab/>
            </w:r>
            <w:r w:rsidRPr="00173BB5">
              <w:rPr>
                <w:rFonts w:ascii="Arial" w:hAnsi="Arial" w:cs="Arial"/>
                <w:b w:val="0"/>
                <w:bCs w:val="0"/>
                <w:webHidden/>
              </w:rPr>
              <w:fldChar w:fldCharType="begin"/>
            </w:r>
            <w:r w:rsidRPr="00173BB5">
              <w:rPr>
                <w:rFonts w:ascii="Arial" w:hAnsi="Arial" w:cs="Arial"/>
                <w:b w:val="0"/>
                <w:bCs w:val="0"/>
                <w:webHidden/>
              </w:rPr>
              <w:instrText xml:space="preserve"> PAGEREF _Toc70318362 \h </w:instrText>
            </w:r>
            <w:r w:rsidRPr="00173BB5">
              <w:rPr>
                <w:rFonts w:ascii="Arial" w:hAnsi="Arial" w:cs="Arial"/>
                <w:b w:val="0"/>
                <w:bCs w:val="0"/>
                <w:webHidden/>
              </w:rPr>
            </w:r>
            <w:r w:rsidRPr="00173BB5">
              <w:rPr>
                <w:rFonts w:ascii="Arial" w:hAnsi="Arial" w:cs="Arial"/>
                <w:b w:val="0"/>
                <w:bCs w:val="0"/>
                <w:webHidden/>
              </w:rPr>
              <w:fldChar w:fldCharType="separate"/>
            </w:r>
            <w:r w:rsidRPr="00173BB5">
              <w:rPr>
                <w:rFonts w:ascii="Arial" w:hAnsi="Arial" w:cs="Arial"/>
                <w:b w:val="0"/>
                <w:bCs w:val="0"/>
                <w:webHidden/>
              </w:rPr>
              <w:t>2</w:t>
            </w:r>
            <w:r w:rsidRPr="00173BB5">
              <w:rPr>
                <w:rFonts w:ascii="Arial" w:hAnsi="Arial" w:cs="Arial"/>
                <w:b w:val="0"/>
                <w:bCs w:val="0"/>
                <w:webHidden/>
              </w:rPr>
              <w:fldChar w:fldCharType="end"/>
            </w:r>
          </w:hyperlink>
        </w:p>
        <w:p w14:paraId="1CC9D4B4" w14:textId="75DE5DD9" w:rsidR="00173BB5" w:rsidRPr="00173BB5" w:rsidRDefault="00FA4401">
          <w:pPr>
            <w:pStyle w:val="TOC1"/>
            <w:rPr>
              <w:rFonts w:ascii="Arial" w:eastAsiaTheme="minorEastAsia" w:hAnsi="Arial" w:cs="Arial"/>
              <w:b w:val="0"/>
              <w:bCs w:val="0"/>
              <w:lang w:eastAsia="en-GB"/>
            </w:rPr>
          </w:pPr>
          <w:hyperlink w:anchor="_Toc70318363" w:history="1">
            <w:r w:rsidR="00173BB5" w:rsidRPr="00173BB5">
              <w:rPr>
                <w:rStyle w:val="Hyperlink"/>
                <w:rFonts w:ascii="Arial" w:hAnsi="Arial" w:cs="Arial"/>
                <w:b w:val="0"/>
                <w:bCs w:val="0"/>
                <w:color w:val="auto"/>
              </w:rPr>
              <w:t>2.0</w:t>
            </w:r>
            <w:r w:rsidR="00173BB5" w:rsidRPr="00173BB5">
              <w:rPr>
                <w:rFonts w:ascii="Arial" w:eastAsiaTheme="minorEastAsia" w:hAnsi="Arial" w:cs="Arial"/>
                <w:b w:val="0"/>
                <w:bCs w:val="0"/>
                <w:lang w:eastAsia="en-GB"/>
              </w:rPr>
              <w:tab/>
            </w:r>
            <w:r w:rsidR="00173BB5" w:rsidRPr="00173BB5">
              <w:rPr>
                <w:rStyle w:val="Hyperlink"/>
                <w:rFonts w:ascii="Arial" w:hAnsi="Arial" w:cs="Arial"/>
                <w:b w:val="0"/>
                <w:bCs w:val="0"/>
                <w:color w:val="auto"/>
              </w:rPr>
              <w:t>Scope</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_Toc70318363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2</w:t>
            </w:r>
            <w:r w:rsidR="00173BB5" w:rsidRPr="00173BB5">
              <w:rPr>
                <w:rFonts w:ascii="Arial" w:hAnsi="Arial" w:cs="Arial"/>
                <w:b w:val="0"/>
                <w:bCs w:val="0"/>
                <w:webHidden/>
              </w:rPr>
              <w:fldChar w:fldCharType="end"/>
            </w:r>
          </w:hyperlink>
        </w:p>
        <w:p w14:paraId="05F1C6C0" w14:textId="13DC85D8" w:rsidR="00173BB5" w:rsidRPr="00173BB5" w:rsidRDefault="00FA4401">
          <w:pPr>
            <w:pStyle w:val="TOC1"/>
            <w:rPr>
              <w:rFonts w:ascii="Arial" w:eastAsiaTheme="minorEastAsia" w:hAnsi="Arial" w:cs="Arial"/>
              <w:b w:val="0"/>
              <w:bCs w:val="0"/>
              <w:lang w:eastAsia="en-GB"/>
            </w:rPr>
          </w:pPr>
          <w:hyperlink w:anchor="_Toc70318364" w:history="1">
            <w:r w:rsidR="00173BB5" w:rsidRPr="00173BB5">
              <w:rPr>
                <w:rStyle w:val="Hyperlink"/>
                <w:rFonts w:ascii="Arial" w:hAnsi="Arial" w:cs="Arial"/>
                <w:b w:val="0"/>
                <w:bCs w:val="0"/>
                <w:color w:val="auto"/>
              </w:rPr>
              <w:t>3.0</w:t>
            </w:r>
            <w:r w:rsidR="00173BB5" w:rsidRPr="00173BB5">
              <w:rPr>
                <w:rFonts w:ascii="Arial" w:eastAsiaTheme="minorEastAsia" w:hAnsi="Arial" w:cs="Arial"/>
                <w:b w:val="0"/>
                <w:bCs w:val="0"/>
                <w:lang w:eastAsia="en-GB"/>
              </w:rPr>
              <w:tab/>
            </w:r>
            <w:r w:rsidR="00173BB5" w:rsidRPr="00173BB5">
              <w:rPr>
                <w:rStyle w:val="Hyperlink"/>
                <w:rFonts w:ascii="Arial" w:hAnsi="Arial" w:cs="Arial"/>
                <w:b w:val="0"/>
                <w:bCs w:val="0"/>
                <w:color w:val="auto"/>
              </w:rPr>
              <w:t>Roles and responsibilities</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_Toc70318364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3</w:t>
            </w:r>
            <w:r w:rsidR="00173BB5" w:rsidRPr="00173BB5">
              <w:rPr>
                <w:rFonts w:ascii="Arial" w:hAnsi="Arial" w:cs="Arial"/>
                <w:b w:val="0"/>
                <w:bCs w:val="0"/>
                <w:webHidden/>
              </w:rPr>
              <w:fldChar w:fldCharType="end"/>
            </w:r>
          </w:hyperlink>
        </w:p>
        <w:p w14:paraId="2762608F" w14:textId="2F12C6C4" w:rsidR="00173BB5" w:rsidRPr="00173BB5" w:rsidRDefault="00FA4401">
          <w:pPr>
            <w:pStyle w:val="TOC1"/>
            <w:rPr>
              <w:rFonts w:ascii="Arial" w:eastAsiaTheme="minorEastAsia" w:hAnsi="Arial" w:cs="Arial"/>
              <w:b w:val="0"/>
              <w:bCs w:val="0"/>
              <w:lang w:eastAsia="en-GB"/>
            </w:rPr>
          </w:pPr>
          <w:hyperlink w:anchor="_Toc70318365" w:history="1">
            <w:r w:rsidR="00173BB5" w:rsidRPr="00173BB5">
              <w:rPr>
                <w:rStyle w:val="Hyperlink"/>
                <w:rFonts w:ascii="Arial" w:hAnsi="Arial" w:cs="Arial"/>
                <w:b w:val="0"/>
                <w:bCs w:val="0"/>
                <w:color w:val="auto"/>
              </w:rPr>
              <w:t>4.0</w:t>
            </w:r>
            <w:r w:rsidR="00173BB5" w:rsidRPr="00173BB5">
              <w:rPr>
                <w:rFonts w:ascii="Arial" w:eastAsiaTheme="minorEastAsia" w:hAnsi="Arial" w:cs="Arial"/>
                <w:b w:val="0"/>
                <w:bCs w:val="0"/>
                <w:lang w:eastAsia="en-GB"/>
              </w:rPr>
              <w:tab/>
            </w:r>
            <w:r w:rsidR="00173BB5" w:rsidRPr="00173BB5">
              <w:rPr>
                <w:rStyle w:val="Hyperlink"/>
                <w:rFonts w:ascii="Arial" w:hAnsi="Arial" w:cs="Arial"/>
                <w:b w:val="0"/>
                <w:bCs w:val="0"/>
                <w:color w:val="auto"/>
              </w:rPr>
              <w:t>Policy</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_Toc70318365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4</w:t>
            </w:r>
            <w:r w:rsidR="00173BB5" w:rsidRPr="00173BB5">
              <w:rPr>
                <w:rFonts w:ascii="Arial" w:hAnsi="Arial" w:cs="Arial"/>
                <w:b w:val="0"/>
                <w:bCs w:val="0"/>
                <w:webHidden/>
              </w:rPr>
              <w:fldChar w:fldCharType="end"/>
            </w:r>
          </w:hyperlink>
        </w:p>
        <w:p w14:paraId="041F1942" w14:textId="76A9296C" w:rsidR="00173BB5" w:rsidRPr="00173BB5" w:rsidRDefault="00FA4401">
          <w:pPr>
            <w:pStyle w:val="TOC1"/>
            <w:rPr>
              <w:rFonts w:ascii="Arial" w:eastAsiaTheme="minorEastAsia" w:hAnsi="Arial" w:cs="Arial"/>
              <w:b w:val="0"/>
              <w:bCs w:val="0"/>
              <w:lang w:eastAsia="en-GB"/>
            </w:rPr>
          </w:pPr>
          <w:hyperlink w:anchor="_Toc70318366" w:history="1">
            <w:r w:rsidR="00173BB5" w:rsidRPr="00173BB5">
              <w:rPr>
                <w:rStyle w:val="Hyperlink"/>
                <w:rFonts w:ascii="Arial" w:hAnsi="Arial" w:cs="Arial"/>
                <w:b w:val="0"/>
                <w:bCs w:val="0"/>
                <w:color w:val="auto"/>
              </w:rPr>
              <w:t>5.0</w:t>
            </w:r>
            <w:r w:rsidR="00173BB5" w:rsidRPr="00173BB5">
              <w:rPr>
                <w:rFonts w:ascii="Arial" w:eastAsiaTheme="minorEastAsia" w:hAnsi="Arial" w:cs="Arial"/>
                <w:b w:val="0"/>
                <w:bCs w:val="0"/>
                <w:lang w:eastAsia="en-GB"/>
              </w:rPr>
              <w:tab/>
            </w:r>
            <w:r w:rsidR="00173BB5" w:rsidRPr="00173BB5">
              <w:rPr>
                <w:rStyle w:val="Hyperlink"/>
                <w:rFonts w:ascii="Arial" w:hAnsi="Arial" w:cs="Arial"/>
                <w:b w:val="0"/>
                <w:bCs w:val="0"/>
                <w:color w:val="auto"/>
              </w:rPr>
              <w:t>Making a Request for Information</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_Toc70318366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4</w:t>
            </w:r>
            <w:r w:rsidR="00173BB5" w:rsidRPr="00173BB5">
              <w:rPr>
                <w:rFonts w:ascii="Arial" w:hAnsi="Arial" w:cs="Arial"/>
                <w:b w:val="0"/>
                <w:bCs w:val="0"/>
                <w:webHidden/>
              </w:rPr>
              <w:fldChar w:fldCharType="end"/>
            </w:r>
          </w:hyperlink>
        </w:p>
        <w:p w14:paraId="38189B25" w14:textId="2254043C" w:rsidR="00173BB5" w:rsidRPr="00173BB5" w:rsidRDefault="00FA4401">
          <w:pPr>
            <w:pStyle w:val="TOC1"/>
            <w:rPr>
              <w:rFonts w:ascii="Arial" w:eastAsiaTheme="minorEastAsia" w:hAnsi="Arial" w:cs="Arial"/>
              <w:b w:val="0"/>
              <w:bCs w:val="0"/>
              <w:lang w:eastAsia="en-GB"/>
            </w:rPr>
          </w:pPr>
          <w:hyperlink w:anchor="_Toc70318367" w:history="1">
            <w:r w:rsidR="00173BB5" w:rsidRPr="00173BB5">
              <w:rPr>
                <w:rStyle w:val="Hyperlink"/>
                <w:rFonts w:ascii="Arial" w:hAnsi="Arial" w:cs="Arial"/>
                <w:b w:val="0"/>
                <w:bCs w:val="0"/>
                <w:color w:val="auto"/>
              </w:rPr>
              <w:t>6.0     Publication Scheme</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_Toc70318367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7</w:t>
            </w:r>
            <w:r w:rsidR="00173BB5" w:rsidRPr="00173BB5">
              <w:rPr>
                <w:rFonts w:ascii="Arial" w:hAnsi="Arial" w:cs="Arial"/>
                <w:b w:val="0"/>
                <w:bCs w:val="0"/>
                <w:webHidden/>
              </w:rPr>
              <w:fldChar w:fldCharType="end"/>
            </w:r>
          </w:hyperlink>
        </w:p>
        <w:p w14:paraId="2304ADB0" w14:textId="1D3C866E" w:rsidR="00173BB5" w:rsidRPr="00173BB5" w:rsidRDefault="00FA4401">
          <w:pPr>
            <w:pStyle w:val="TOC1"/>
            <w:rPr>
              <w:rFonts w:ascii="Arial" w:eastAsiaTheme="minorEastAsia" w:hAnsi="Arial" w:cs="Arial"/>
              <w:b w:val="0"/>
              <w:bCs w:val="0"/>
              <w:lang w:eastAsia="en-GB"/>
            </w:rPr>
          </w:pPr>
          <w:hyperlink w:anchor="_Toc70318368" w:history="1">
            <w:r w:rsidR="00173BB5" w:rsidRPr="00173BB5">
              <w:rPr>
                <w:rStyle w:val="Hyperlink"/>
                <w:rFonts w:ascii="Arial" w:hAnsi="Arial" w:cs="Arial"/>
                <w:b w:val="0"/>
                <w:bCs w:val="0"/>
                <w:color w:val="auto"/>
              </w:rPr>
              <w:t>7.0     Review</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_Toc70318368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7</w:t>
            </w:r>
            <w:r w:rsidR="00173BB5" w:rsidRPr="00173BB5">
              <w:rPr>
                <w:rFonts w:ascii="Arial" w:hAnsi="Arial" w:cs="Arial"/>
                <w:b w:val="0"/>
                <w:bCs w:val="0"/>
                <w:webHidden/>
              </w:rPr>
              <w:fldChar w:fldCharType="end"/>
            </w:r>
          </w:hyperlink>
        </w:p>
        <w:p w14:paraId="05880B36" w14:textId="1FF1DD5A" w:rsidR="00173BB5" w:rsidRPr="00173BB5" w:rsidRDefault="00FA4401">
          <w:pPr>
            <w:pStyle w:val="TOC1"/>
            <w:rPr>
              <w:rFonts w:ascii="Arial" w:eastAsiaTheme="minorEastAsia" w:hAnsi="Arial" w:cs="Arial"/>
              <w:b w:val="0"/>
              <w:bCs w:val="0"/>
              <w:lang w:eastAsia="en-GB"/>
            </w:rPr>
          </w:pPr>
          <w:hyperlink w:anchor="_Toc70318369" w:history="1">
            <w:r w:rsidR="00173BB5" w:rsidRPr="00173BB5">
              <w:rPr>
                <w:rStyle w:val="Hyperlink"/>
                <w:rFonts w:ascii="Arial" w:hAnsi="Arial" w:cs="Arial"/>
                <w:b w:val="0"/>
                <w:bCs w:val="0"/>
                <w:color w:val="auto"/>
              </w:rPr>
              <w:t>8.0     Equality Impact Assessment</w:t>
            </w:r>
            <w:r w:rsidR="00173BB5" w:rsidRPr="00173BB5">
              <w:rPr>
                <w:rFonts w:ascii="Arial" w:hAnsi="Arial" w:cs="Arial"/>
                <w:b w:val="0"/>
                <w:bCs w:val="0"/>
                <w:webHidden/>
              </w:rPr>
              <w:tab/>
            </w:r>
            <w:r w:rsidR="00173BB5" w:rsidRPr="00173BB5">
              <w:rPr>
                <w:rFonts w:ascii="Arial" w:hAnsi="Arial" w:cs="Arial"/>
                <w:b w:val="0"/>
                <w:bCs w:val="0"/>
                <w:webHidden/>
              </w:rPr>
              <w:fldChar w:fldCharType="begin"/>
            </w:r>
            <w:r w:rsidR="00173BB5" w:rsidRPr="00173BB5">
              <w:rPr>
                <w:rFonts w:ascii="Arial" w:hAnsi="Arial" w:cs="Arial"/>
                <w:b w:val="0"/>
                <w:bCs w:val="0"/>
                <w:webHidden/>
              </w:rPr>
              <w:instrText xml:space="preserve"> PAGEREF _Toc70318369 \h </w:instrText>
            </w:r>
            <w:r w:rsidR="00173BB5" w:rsidRPr="00173BB5">
              <w:rPr>
                <w:rFonts w:ascii="Arial" w:hAnsi="Arial" w:cs="Arial"/>
                <w:b w:val="0"/>
                <w:bCs w:val="0"/>
                <w:webHidden/>
              </w:rPr>
            </w:r>
            <w:r w:rsidR="00173BB5" w:rsidRPr="00173BB5">
              <w:rPr>
                <w:rFonts w:ascii="Arial" w:hAnsi="Arial" w:cs="Arial"/>
                <w:b w:val="0"/>
                <w:bCs w:val="0"/>
                <w:webHidden/>
              </w:rPr>
              <w:fldChar w:fldCharType="separate"/>
            </w:r>
            <w:r w:rsidR="00173BB5" w:rsidRPr="00173BB5">
              <w:rPr>
                <w:rFonts w:ascii="Arial" w:hAnsi="Arial" w:cs="Arial"/>
                <w:b w:val="0"/>
                <w:bCs w:val="0"/>
                <w:webHidden/>
              </w:rPr>
              <w:t>7</w:t>
            </w:r>
            <w:r w:rsidR="00173BB5" w:rsidRPr="00173BB5">
              <w:rPr>
                <w:rFonts w:ascii="Arial" w:hAnsi="Arial" w:cs="Arial"/>
                <w:b w:val="0"/>
                <w:bCs w:val="0"/>
                <w:webHidden/>
              </w:rPr>
              <w:fldChar w:fldCharType="end"/>
            </w:r>
          </w:hyperlink>
        </w:p>
        <w:p w14:paraId="17B234A8" w14:textId="59AD7BBC" w:rsidR="00173BB5" w:rsidRDefault="00173BB5">
          <w:r w:rsidRPr="00173BB5">
            <w:rPr>
              <w:rFonts w:ascii="Arial" w:hAnsi="Arial" w:cs="Arial"/>
              <w:b/>
              <w:bCs/>
              <w:noProof/>
              <w:sz w:val="24"/>
              <w:szCs w:val="24"/>
            </w:rPr>
            <w:fldChar w:fldCharType="end"/>
          </w:r>
        </w:p>
      </w:sdtContent>
    </w:sdt>
    <w:p w14:paraId="2F335488" w14:textId="77777777" w:rsidR="00173BB5" w:rsidRPr="00173BB5" w:rsidRDefault="00173BB5" w:rsidP="00173BB5">
      <w:pPr>
        <w:pStyle w:val="Heading1"/>
        <w:jc w:val="both"/>
        <w:rPr>
          <w:rFonts w:ascii="Arial" w:hAnsi="Arial" w:cs="Arial"/>
          <w:b/>
          <w:bCs/>
          <w:color w:val="2E74B5" w:themeColor="accent5" w:themeShade="BF"/>
          <w:sz w:val="28"/>
          <w:szCs w:val="28"/>
        </w:rPr>
      </w:pPr>
    </w:p>
    <w:p w14:paraId="2528E0FB" w14:textId="2CBECFB6" w:rsidR="00104712" w:rsidRPr="00104712" w:rsidRDefault="00104712" w:rsidP="00104712">
      <w:pPr>
        <w:pStyle w:val="Heading1"/>
        <w:numPr>
          <w:ilvl w:val="0"/>
          <w:numId w:val="1"/>
        </w:numPr>
        <w:jc w:val="both"/>
        <w:rPr>
          <w:rFonts w:ascii="Arial" w:hAnsi="Arial" w:cs="Arial"/>
          <w:b/>
          <w:bCs/>
          <w:color w:val="2E74B5" w:themeColor="accent5" w:themeShade="BF"/>
          <w:sz w:val="28"/>
          <w:szCs w:val="28"/>
        </w:rPr>
      </w:pPr>
      <w:r w:rsidRPr="00173BB5">
        <w:br w:type="page"/>
      </w:r>
      <w:bookmarkStart w:id="0" w:name="_Toc70317849"/>
      <w:bookmarkStart w:id="1" w:name="_Toc70317889"/>
      <w:r>
        <w:rPr>
          <w:rFonts w:ascii="Arial" w:hAnsi="Arial" w:cs="Arial"/>
        </w:rPr>
        <w:lastRenderedPageBreak/>
        <w:t xml:space="preserve"> </w:t>
      </w:r>
      <w:bookmarkStart w:id="2" w:name="_Toc70318362"/>
      <w:r w:rsidRPr="00104712">
        <w:rPr>
          <w:rFonts w:ascii="Arial" w:hAnsi="Arial" w:cs="Arial"/>
          <w:b/>
          <w:bCs/>
          <w:sz w:val="28"/>
          <w:szCs w:val="28"/>
        </w:rPr>
        <w:t>Introduction</w:t>
      </w:r>
      <w:bookmarkEnd w:id="0"/>
      <w:bookmarkEnd w:id="1"/>
      <w:bookmarkEnd w:id="2"/>
    </w:p>
    <w:p w14:paraId="2C4BCCFC"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 Freedom of Information Act 2000 places a statutory obligation on all public bodies to publish details of all recorded information that they hold, and to allow access to this information upon request, with the exception of where an exemption applies such as personal or other confidential data.</w:t>
      </w:r>
    </w:p>
    <w:p w14:paraId="7303A42E"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 Environmental Information Regulation is similar to the FOI Act, and places a statutory obligation on all public bodies to publish details of environmental information held by the authority and allow access to environmental information upon request of the general public. Again, this is with the exception of exempted data such as personal or confidential data.</w:t>
      </w:r>
    </w:p>
    <w:p w14:paraId="6DBE613C" w14:textId="1E75D356"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This policy outlines </w:t>
      </w:r>
      <w:r w:rsidR="00FA4401">
        <w:rPr>
          <w:rFonts w:ascii="Arial" w:hAnsi="Arial" w:cs="Arial"/>
          <w:sz w:val="24"/>
          <w:szCs w:val="24"/>
        </w:rPr>
        <w:t>Woodlands Surgery’s</w:t>
      </w:r>
      <w:r w:rsidRPr="00104712">
        <w:rPr>
          <w:rFonts w:ascii="Arial" w:hAnsi="Arial" w:cs="Arial"/>
          <w:sz w:val="24"/>
          <w:szCs w:val="24"/>
        </w:rPr>
        <w:t xml:space="preserve"> commitment to ensuring that both the Freedom of Information Act 2000 (</w:t>
      </w:r>
      <w:r w:rsidRPr="00104712">
        <w:rPr>
          <w:rFonts w:ascii="Arial" w:hAnsi="Arial" w:cs="Arial"/>
          <w:b/>
          <w:bCs/>
          <w:sz w:val="24"/>
          <w:szCs w:val="24"/>
        </w:rPr>
        <w:t>The FOI Act</w:t>
      </w:r>
      <w:r w:rsidRPr="00104712">
        <w:rPr>
          <w:rFonts w:ascii="Arial" w:hAnsi="Arial" w:cs="Arial"/>
          <w:sz w:val="24"/>
          <w:szCs w:val="24"/>
        </w:rPr>
        <w:t>) and the Environmental Information Regulation (</w:t>
      </w:r>
      <w:r w:rsidRPr="00104712">
        <w:rPr>
          <w:rFonts w:ascii="Arial" w:hAnsi="Arial" w:cs="Arial"/>
          <w:b/>
          <w:bCs/>
          <w:sz w:val="24"/>
          <w:szCs w:val="24"/>
        </w:rPr>
        <w:t>EIR</w:t>
      </w:r>
      <w:r w:rsidRPr="00104712">
        <w:rPr>
          <w:rFonts w:ascii="Arial" w:hAnsi="Arial" w:cs="Arial"/>
          <w:sz w:val="24"/>
          <w:szCs w:val="24"/>
        </w:rPr>
        <w:t xml:space="preserve">) </w:t>
      </w:r>
      <w:proofErr w:type="gramStart"/>
      <w:r w:rsidRPr="00104712">
        <w:rPr>
          <w:rFonts w:ascii="Arial" w:hAnsi="Arial" w:cs="Arial"/>
          <w:sz w:val="24"/>
          <w:szCs w:val="24"/>
        </w:rPr>
        <w:t>are correctly implemented</w:t>
      </w:r>
      <w:proofErr w:type="gramEnd"/>
      <w:r w:rsidRPr="00104712">
        <w:rPr>
          <w:rFonts w:ascii="Arial" w:hAnsi="Arial" w:cs="Arial"/>
          <w:sz w:val="24"/>
          <w:szCs w:val="24"/>
        </w:rPr>
        <w:t xml:space="preserve"> across the Practice. It applies to any person(s) who wish to request access to information held by the Practice, subject to the FOI Act and/or the EIR. </w:t>
      </w:r>
    </w:p>
    <w:p w14:paraId="3BA5239F"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policy also applies to employee(s) at the Practice who are responsible for responding to such requests and for the Practice’s publication scheme. </w:t>
      </w:r>
    </w:p>
    <w:p w14:paraId="49546919" w14:textId="77777777" w:rsidR="00104712" w:rsidRPr="00104712" w:rsidRDefault="00104712" w:rsidP="00104712">
      <w:pPr>
        <w:jc w:val="both"/>
        <w:rPr>
          <w:rFonts w:ascii="Arial" w:hAnsi="Arial" w:cs="Arial"/>
          <w:sz w:val="24"/>
          <w:szCs w:val="24"/>
        </w:rPr>
      </w:pPr>
    </w:p>
    <w:p w14:paraId="4650B1DC" w14:textId="705EA95C" w:rsidR="00104712" w:rsidRPr="00104712" w:rsidRDefault="00104712" w:rsidP="00104712">
      <w:pPr>
        <w:jc w:val="both"/>
        <w:rPr>
          <w:rFonts w:ascii="Arial" w:hAnsi="Arial" w:cs="Arial"/>
          <w:b/>
          <w:bCs/>
          <w:color w:val="2F5496" w:themeColor="accent1" w:themeShade="BF"/>
          <w:sz w:val="24"/>
          <w:szCs w:val="24"/>
        </w:rPr>
      </w:pPr>
      <w:bookmarkStart w:id="3" w:name="_Toc70317850"/>
      <w:bookmarkStart w:id="4" w:name="_Toc70317890"/>
      <w:r w:rsidRPr="00104712">
        <w:rPr>
          <w:rFonts w:ascii="Arial" w:hAnsi="Arial" w:cs="Arial"/>
          <w:b/>
          <w:bCs/>
          <w:color w:val="2F5496" w:themeColor="accent1" w:themeShade="BF"/>
          <w:sz w:val="24"/>
          <w:szCs w:val="24"/>
        </w:rPr>
        <w:t>Purpose</w:t>
      </w:r>
      <w:bookmarkEnd w:id="3"/>
      <w:bookmarkEnd w:id="4"/>
    </w:p>
    <w:p w14:paraId="20C40D3B"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 FOI Act applies to all recorded information held by the Practice regardless of format, storage method and age. The FOI Act grants a general right of access to information held by public authority’s subject to certain conditions and exemptions. There is no limitation on who may request access to the information, or for what purpose.</w:t>
      </w:r>
    </w:p>
    <w:p w14:paraId="1C3C4EC7" w14:textId="77777777" w:rsidR="00104712" w:rsidRPr="00104712" w:rsidRDefault="00104712" w:rsidP="00104712">
      <w:pPr>
        <w:jc w:val="both"/>
        <w:rPr>
          <w:rFonts w:ascii="Arial" w:hAnsi="Arial" w:cs="Arial"/>
          <w:bCs/>
          <w:sz w:val="24"/>
          <w:szCs w:val="20"/>
        </w:rPr>
      </w:pPr>
      <w:r w:rsidRPr="00104712">
        <w:rPr>
          <w:rFonts w:ascii="Arial" w:hAnsi="Arial" w:cs="Arial"/>
          <w:bCs/>
          <w:sz w:val="24"/>
          <w:szCs w:val="20"/>
        </w:rPr>
        <w:t xml:space="preserve">The EIR gives members of the public the right of access to environmental information held by public authorities. Information such as emissions, human health and safety and the state of the elements (water, air, soil, land and fauna) </w:t>
      </w:r>
      <w:proofErr w:type="gramStart"/>
      <w:r w:rsidRPr="00104712">
        <w:rPr>
          <w:rFonts w:ascii="Arial" w:hAnsi="Arial" w:cs="Arial"/>
          <w:bCs/>
          <w:sz w:val="24"/>
          <w:szCs w:val="20"/>
        </w:rPr>
        <w:t>can be accessed</w:t>
      </w:r>
      <w:proofErr w:type="gramEnd"/>
      <w:r w:rsidRPr="00104712">
        <w:rPr>
          <w:rFonts w:ascii="Arial" w:hAnsi="Arial" w:cs="Arial"/>
          <w:bCs/>
          <w:sz w:val="24"/>
          <w:szCs w:val="20"/>
        </w:rPr>
        <w:t xml:space="preserve"> under the EIR. The release of information can be subject to certain conditions and exceptions.</w:t>
      </w:r>
    </w:p>
    <w:p w14:paraId="50A6E090"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 Practice is committed to the principle of public access to official information where possible and within the framework provided by the FOI Act and the EIR.</w:t>
      </w:r>
    </w:p>
    <w:p w14:paraId="2D01DDF6" w14:textId="77777777" w:rsidR="00104712" w:rsidRPr="00104712" w:rsidRDefault="00104712" w:rsidP="00104712">
      <w:pPr>
        <w:jc w:val="both"/>
        <w:rPr>
          <w:rFonts w:ascii="Arial" w:hAnsi="Arial" w:cs="Arial"/>
          <w:sz w:val="24"/>
          <w:szCs w:val="24"/>
        </w:rPr>
      </w:pPr>
    </w:p>
    <w:p w14:paraId="3BAD048D" w14:textId="5415D04D" w:rsidR="00104712" w:rsidRPr="00104712" w:rsidRDefault="00104712" w:rsidP="00104712">
      <w:pPr>
        <w:jc w:val="both"/>
        <w:rPr>
          <w:b/>
          <w:bCs/>
          <w:color w:val="2F5496" w:themeColor="accent1" w:themeShade="BF"/>
          <w:sz w:val="28"/>
          <w:szCs w:val="28"/>
        </w:rPr>
      </w:pPr>
      <w:bookmarkStart w:id="5" w:name="_Toc70317851"/>
      <w:bookmarkStart w:id="6" w:name="_Toc70317891"/>
      <w:r w:rsidRPr="00104712">
        <w:rPr>
          <w:b/>
          <w:bCs/>
          <w:color w:val="2F5496" w:themeColor="accent1" w:themeShade="BF"/>
          <w:sz w:val="28"/>
          <w:szCs w:val="28"/>
        </w:rPr>
        <w:t>Definitions</w:t>
      </w:r>
      <w:bookmarkEnd w:id="5"/>
      <w:bookmarkEnd w:id="6"/>
    </w:p>
    <w:p w14:paraId="77947B6C" w14:textId="348F964D" w:rsidR="00104712" w:rsidRPr="00104712" w:rsidRDefault="00104712" w:rsidP="00104712">
      <w:pPr>
        <w:jc w:val="both"/>
        <w:rPr>
          <w:rFonts w:ascii="Arial" w:hAnsi="Arial" w:cs="Arial"/>
          <w:sz w:val="24"/>
          <w:szCs w:val="24"/>
        </w:rPr>
      </w:pPr>
      <w:r w:rsidRPr="00104712">
        <w:rPr>
          <w:rFonts w:ascii="Arial" w:hAnsi="Arial" w:cs="Arial"/>
          <w:sz w:val="24"/>
          <w:szCs w:val="24"/>
        </w:rPr>
        <w:t>In the context of FOI, ‘information’ is defined as each item of data held by the Practice in physical or electronic form. This includes, but is not limited to, all draft documents, agendas, minutes, e-mails, diaries, handwritten notes, and all other recorded information.</w:t>
      </w:r>
    </w:p>
    <w:p w14:paraId="72BC79F6" w14:textId="540CD77B" w:rsidR="00104712" w:rsidRDefault="00104712" w:rsidP="00104712">
      <w:pPr>
        <w:jc w:val="both"/>
        <w:rPr>
          <w:rFonts w:ascii="Arial" w:hAnsi="Arial" w:cs="Arial"/>
          <w:sz w:val="24"/>
          <w:szCs w:val="24"/>
        </w:rPr>
      </w:pPr>
    </w:p>
    <w:p w14:paraId="0BB360AE" w14:textId="77777777" w:rsidR="00104712" w:rsidRPr="00104712" w:rsidRDefault="00104712" w:rsidP="00104712">
      <w:pPr>
        <w:jc w:val="both"/>
        <w:rPr>
          <w:rFonts w:ascii="Arial" w:hAnsi="Arial" w:cs="Arial"/>
          <w:sz w:val="24"/>
          <w:szCs w:val="24"/>
        </w:rPr>
      </w:pPr>
    </w:p>
    <w:p w14:paraId="1723A48A" w14:textId="088CF597" w:rsidR="00104712" w:rsidRPr="00104712" w:rsidRDefault="00104712" w:rsidP="00104712">
      <w:pPr>
        <w:pStyle w:val="Heading1"/>
        <w:numPr>
          <w:ilvl w:val="0"/>
          <w:numId w:val="1"/>
        </w:numPr>
        <w:jc w:val="both"/>
        <w:rPr>
          <w:rFonts w:ascii="Arial" w:hAnsi="Arial" w:cs="Arial"/>
          <w:b/>
          <w:bCs/>
          <w:sz w:val="28"/>
          <w:szCs w:val="28"/>
        </w:rPr>
      </w:pPr>
      <w:bookmarkStart w:id="7" w:name="_Toc70317852"/>
      <w:bookmarkStart w:id="8" w:name="_Toc70317892"/>
      <w:r>
        <w:rPr>
          <w:rFonts w:ascii="Arial" w:hAnsi="Arial" w:cs="Arial"/>
          <w:b/>
          <w:bCs/>
          <w:sz w:val="28"/>
          <w:szCs w:val="28"/>
        </w:rPr>
        <w:t xml:space="preserve"> </w:t>
      </w:r>
      <w:bookmarkStart w:id="9" w:name="_Toc70318363"/>
      <w:r w:rsidRPr="00104712">
        <w:rPr>
          <w:rFonts w:ascii="Arial" w:hAnsi="Arial" w:cs="Arial"/>
          <w:b/>
          <w:bCs/>
          <w:sz w:val="28"/>
          <w:szCs w:val="28"/>
        </w:rPr>
        <w:t>Scope</w:t>
      </w:r>
      <w:bookmarkEnd w:id="7"/>
      <w:bookmarkEnd w:id="8"/>
      <w:bookmarkEnd w:id="9"/>
    </w:p>
    <w:p w14:paraId="4D6BF695" w14:textId="5EFA03C8"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All staff members of </w:t>
      </w:r>
      <w:r w:rsidR="00FA4401">
        <w:rPr>
          <w:rFonts w:ascii="Arial" w:hAnsi="Arial" w:cs="Arial"/>
          <w:sz w:val="24"/>
          <w:szCs w:val="24"/>
        </w:rPr>
        <w:t xml:space="preserve">Woodlands Surgery </w:t>
      </w:r>
      <w:r w:rsidRPr="00104712">
        <w:rPr>
          <w:rFonts w:ascii="Arial" w:hAnsi="Arial" w:cs="Arial"/>
          <w:sz w:val="24"/>
          <w:szCs w:val="24"/>
        </w:rPr>
        <w:t>are within the scope of this policy, including:</w:t>
      </w:r>
    </w:p>
    <w:p w14:paraId="41DF91AA" w14:textId="77777777" w:rsidR="00104712" w:rsidRPr="00104712" w:rsidRDefault="00104712" w:rsidP="00104712">
      <w:pPr>
        <w:pStyle w:val="ListParagraph"/>
        <w:numPr>
          <w:ilvl w:val="0"/>
          <w:numId w:val="2"/>
        </w:numPr>
        <w:jc w:val="both"/>
        <w:rPr>
          <w:rFonts w:ascii="Arial" w:hAnsi="Arial" w:cs="Arial"/>
          <w:sz w:val="24"/>
          <w:szCs w:val="24"/>
        </w:rPr>
      </w:pPr>
      <w:r w:rsidRPr="00104712">
        <w:rPr>
          <w:rFonts w:ascii="Arial" w:hAnsi="Arial" w:cs="Arial"/>
          <w:sz w:val="24"/>
          <w:szCs w:val="24"/>
        </w:rPr>
        <w:t>Senior Partners</w:t>
      </w:r>
    </w:p>
    <w:p w14:paraId="38E3F0F0" w14:textId="77777777" w:rsidR="00104712" w:rsidRPr="00104712" w:rsidRDefault="00104712" w:rsidP="00104712">
      <w:pPr>
        <w:pStyle w:val="ListParagraph"/>
        <w:numPr>
          <w:ilvl w:val="0"/>
          <w:numId w:val="2"/>
        </w:numPr>
        <w:jc w:val="both"/>
        <w:rPr>
          <w:rFonts w:ascii="Arial" w:hAnsi="Arial" w:cs="Arial"/>
          <w:sz w:val="24"/>
          <w:szCs w:val="24"/>
        </w:rPr>
      </w:pPr>
      <w:r w:rsidRPr="00104712">
        <w:rPr>
          <w:rFonts w:ascii="Arial" w:hAnsi="Arial" w:cs="Arial"/>
          <w:sz w:val="24"/>
          <w:szCs w:val="24"/>
        </w:rPr>
        <w:t>Practice Management,</w:t>
      </w:r>
    </w:p>
    <w:p w14:paraId="1B9EFA49" w14:textId="77777777" w:rsidR="00104712" w:rsidRPr="00104712" w:rsidRDefault="00104712" w:rsidP="00104712">
      <w:pPr>
        <w:pStyle w:val="ListParagraph"/>
        <w:numPr>
          <w:ilvl w:val="0"/>
          <w:numId w:val="2"/>
        </w:numPr>
        <w:jc w:val="both"/>
        <w:rPr>
          <w:rFonts w:ascii="Arial" w:hAnsi="Arial" w:cs="Arial"/>
          <w:sz w:val="24"/>
          <w:szCs w:val="24"/>
        </w:rPr>
      </w:pPr>
      <w:r w:rsidRPr="00104712">
        <w:rPr>
          <w:rFonts w:ascii="Arial" w:hAnsi="Arial" w:cs="Arial"/>
          <w:sz w:val="24"/>
          <w:szCs w:val="24"/>
        </w:rPr>
        <w:t>General Practitioners,</w:t>
      </w:r>
    </w:p>
    <w:p w14:paraId="3CF486DB" w14:textId="77777777" w:rsidR="00104712" w:rsidRPr="00104712" w:rsidRDefault="00104712" w:rsidP="00104712">
      <w:pPr>
        <w:pStyle w:val="ListParagraph"/>
        <w:numPr>
          <w:ilvl w:val="0"/>
          <w:numId w:val="2"/>
        </w:numPr>
        <w:jc w:val="both"/>
        <w:rPr>
          <w:rFonts w:ascii="Arial" w:hAnsi="Arial" w:cs="Arial"/>
          <w:sz w:val="24"/>
          <w:szCs w:val="24"/>
        </w:rPr>
      </w:pPr>
      <w:r w:rsidRPr="00104712">
        <w:rPr>
          <w:rFonts w:ascii="Arial" w:hAnsi="Arial" w:cs="Arial"/>
          <w:sz w:val="24"/>
          <w:szCs w:val="24"/>
        </w:rPr>
        <w:t>Reception and Administration Staff,</w:t>
      </w:r>
    </w:p>
    <w:p w14:paraId="0BE64C37" w14:textId="77777777" w:rsidR="00104712" w:rsidRPr="00104712" w:rsidRDefault="00104712" w:rsidP="00104712">
      <w:pPr>
        <w:pStyle w:val="ListParagraph"/>
        <w:numPr>
          <w:ilvl w:val="0"/>
          <w:numId w:val="2"/>
        </w:numPr>
        <w:jc w:val="both"/>
        <w:rPr>
          <w:rFonts w:ascii="Arial" w:hAnsi="Arial" w:cs="Arial"/>
          <w:sz w:val="24"/>
          <w:szCs w:val="24"/>
        </w:rPr>
      </w:pPr>
      <w:r w:rsidRPr="00104712">
        <w:rPr>
          <w:rFonts w:ascii="Arial" w:hAnsi="Arial" w:cs="Arial"/>
          <w:sz w:val="24"/>
          <w:szCs w:val="24"/>
        </w:rPr>
        <w:lastRenderedPageBreak/>
        <w:t>Staff working on behalf of the Practice or in the Practice (including locums, contractors, temporary staff, embedded staff, health board staff, secondees and all permanent employees).</w:t>
      </w:r>
    </w:p>
    <w:p w14:paraId="1D06867E" w14:textId="77777777" w:rsidR="00104712" w:rsidRPr="00104712" w:rsidRDefault="00104712" w:rsidP="00104712">
      <w:pPr>
        <w:jc w:val="both"/>
        <w:rPr>
          <w:rFonts w:ascii="Arial" w:hAnsi="Arial" w:cs="Arial"/>
        </w:rPr>
      </w:pPr>
    </w:p>
    <w:p w14:paraId="1E623F35" w14:textId="22B66106" w:rsidR="00104712" w:rsidRPr="00104712" w:rsidRDefault="00104712" w:rsidP="00104712">
      <w:pPr>
        <w:pStyle w:val="Heading1"/>
        <w:numPr>
          <w:ilvl w:val="0"/>
          <w:numId w:val="1"/>
        </w:numPr>
        <w:jc w:val="both"/>
        <w:rPr>
          <w:rFonts w:ascii="Arial" w:hAnsi="Arial" w:cs="Arial"/>
          <w:b/>
          <w:bCs/>
          <w:sz w:val="28"/>
          <w:szCs w:val="28"/>
        </w:rPr>
      </w:pPr>
      <w:bookmarkStart w:id="10" w:name="_Toc70317853"/>
      <w:bookmarkStart w:id="11" w:name="_Toc70317893"/>
      <w:r w:rsidRPr="00104712">
        <w:rPr>
          <w:rFonts w:ascii="Arial" w:hAnsi="Arial" w:cs="Arial"/>
          <w:b/>
          <w:bCs/>
          <w:sz w:val="28"/>
          <w:szCs w:val="28"/>
        </w:rPr>
        <w:t xml:space="preserve"> </w:t>
      </w:r>
      <w:bookmarkStart w:id="12" w:name="_Toc70318364"/>
      <w:r w:rsidRPr="00104712">
        <w:rPr>
          <w:rFonts w:ascii="Arial" w:hAnsi="Arial" w:cs="Arial"/>
          <w:b/>
          <w:bCs/>
          <w:sz w:val="28"/>
          <w:szCs w:val="28"/>
        </w:rPr>
        <w:t>Roles and responsibilities</w:t>
      </w:r>
      <w:bookmarkEnd w:id="10"/>
      <w:bookmarkEnd w:id="11"/>
      <w:bookmarkEnd w:id="12"/>
    </w:p>
    <w:p w14:paraId="49F72DE4" w14:textId="77777777" w:rsidR="00104712" w:rsidRPr="00104712" w:rsidRDefault="00104712" w:rsidP="00104712">
      <w:pPr>
        <w:pStyle w:val="Heading2"/>
        <w:jc w:val="both"/>
        <w:rPr>
          <w:rFonts w:ascii="Arial" w:hAnsi="Arial" w:cs="Arial"/>
          <w:b/>
          <w:bCs/>
          <w:sz w:val="24"/>
          <w:szCs w:val="24"/>
        </w:rPr>
      </w:pPr>
      <w:bookmarkStart w:id="13" w:name="_Toc70317854"/>
      <w:bookmarkStart w:id="14" w:name="_Toc70317894"/>
    </w:p>
    <w:p w14:paraId="3A1F86E8" w14:textId="3A50D48E" w:rsidR="00104712" w:rsidRPr="00104712" w:rsidRDefault="00104712" w:rsidP="00104712">
      <w:pPr>
        <w:rPr>
          <w:rFonts w:ascii="Arial" w:hAnsi="Arial" w:cs="Arial"/>
          <w:b/>
          <w:bCs/>
          <w:color w:val="2F5496" w:themeColor="accent1" w:themeShade="BF"/>
          <w:sz w:val="24"/>
          <w:szCs w:val="24"/>
        </w:rPr>
      </w:pPr>
      <w:r w:rsidRPr="00104712">
        <w:rPr>
          <w:rFonts w:ascii="Arial" w:hAnsi="Arial" w:cs="Arial"/>
          <w:b/>
          <w:bCs/>
          <w:color w:val="2F5496" w:themeColor="accent1" w:themeShade="BF"/>
          <w:sz w:val="24"/>
          <w:szCs w:val="24"/>
        </w:rPr>
        <w:t>Practice Responsibilities</w:t>
      </w:r>
      <w:bookmarkEnd w:id="13"/>
      <w:bookmarkEnd w:id="14"/>
    </w:p>
    <w:p w14:paraId="66874407" w14:textId="7B58475E" w:rsidR="00104712" w:rsidRPr="00104712" w:rsidRDefault="00FA4401" w:rsidP="00104712">
      <w:pPr>
        <w:jc w:val="both"/>
        <w:rPr>
          <w:rFonts w:ascii="Arial" w:hAnsi="Arial" w:cs="Arial"/>
          <w:sz w:val="24"/>
          <w:szCs w:val="24"/>
        </w:rPr>
      </w:pPr>
      <w:r>
        <w:rPr>
          <w:rFonts w:ascii="Arial" w:hAnsi="Arial" w:cs="Arial"/>
          <w:sz w:val="24"/>
          <w:szCs w:val="24"/>
        </w:rPr>
        <w:t xml:space="preserve">Woodlands Surgery </w:t>
      </w:r>
      <w:r w:rsidR="00104712" w:rsidRPr="00104712">
        <w:rPr>
          <w:rFonts w:ascii="Arial" w:hAnsi="Arial" w:cs="Arial"/>
          <w:sz w:val="24"/>
          <w:szCs w:val="24"/>
        </w:rPr>
        <w:t xml:space="preserve">recognises its responsibility under the FOI Act and EIR to provide the general right of access to information held by the Practice. Overall responsibility for </w:t>
      </w:r>
      <w:r>
        <w:rPr>
          <w:rFonts w:ascii="Arial" w:hAnsi="Arial" w:cs="Arial"/>
          <w:sz w:val="24"/>
          <w:szCs w:val="24"/>
        </w:rPr>
        <w:t xml:space="preserve">this responsibility is with </w:t>
      </w:r>
      <w:r w:rsidRPr="00FA4401">
        <w:rPr>
          <w:rFonts w:ascii="Arial" w:hAnsi="Arial" w:cs="Arial"/>
          <w:sz w:val="24"/>
          <w:szCs w:val="24"/>
        </w:rPr>
        <w:t>the Practice Manager/</w:t>
      </w:r>
      <w:r w:rsidR="00104712" w:rsidRPr="00FA4401">
        <w:rPr>
          <w:rFonts w:ascii="Arial" w:hAnsi="Arial" w:cs="Arial"/>
          <w:sz w:val="24"/>
          <w:szCs w:val="24"/>
        </w:rPr>
        <w:t>Senio</w:t>
      </w:r>
      <w:r w:rsidRPr="00FA4401">
        <w:rPr>
          <w:rFonts w:ascii="Arial" w:hAnsi="Arial" w:cs="Arial"/>
          <w:sz w:val="24"/>
          <w:szCs w:val="24"/>
        </w:rPr>
        <w:t>r Partner</w:t>
      </w:r>
      <w:r w:rsidR="00104712" w:rsidRPr="00FA4401">
        <w:rPr>
          <w:rFonts w:ascii="Arial" w:hAnsi="Arial" w:cs="Arial"/>
          <w:sz w:val="24"/>
          <w:szCs w:val="24"/>
        </w:rPr>
        <w:t>.</w:t>
      </w:r>
    </w:p>
    <w:p w14:paraId="6E49A0E6" w14:textId="3C2B27D4" w:rsidR="00104712" w:rsidRPr="00104712" w:rsidRDefault="00104712" w:rsidP="00104712">
      <w:pPr>
        <w:jc w:val="both"/>
        <w:rPr>
          <w:rFonts w:ascii="Arial" w:hAnsi="Arial" w:cs="Arial"/>
          <w:sz w:val="24"/>
          <w:szCs w:val="24"/>
        </w:rPr>
      </w:pPr>
      <w:r w:rsidRPr="00104712">
        <w:rPr>
          <w:rFonts w:ascii="Arial" w:hAnsi="Arial" w:cs="Arial"/>
          <w:sz w:val="24"/>
          <w:szCs w:val="24"/>
        </w:rPr>
        <w:t>The implementation of this policy across the Practice is the responsibility of the</w:t>
      </w:r>
      <w:r w:rsidR="00FA4401" w:rsidRPr="00FA4401">
        <w:rPr>
          <w:rFonts w:ascii="Arial" w:hAnsi="Arial" w:cs="Arial"/>
          <w:sz w:val="24"/>
          <w:szCs w:val="24"/>
        </w:rPr>
        <w:t xml:space="preserve"> </w:t>
      </w:r>
      <w:r w:rsidR="00FA4401" w:rsidRPr="00FA4401">
        <w:rPr>
          <w:rFonts w:ascii="Arial" w:hAnsi="Arial" w:cs="Arial"/>
          <w:sz w:val="24"/>
          <w:szCs w:val="24"/>
        </w:rPr>
        <w:t>Practice Manager/Senior Partner</w:t>
      </w:r>
      <w:r w:rsidR="00FA4401" w:rsidRPr="00104712">
        <w:rPr>
          <w:rFonts w:ascii="Arial" w:hAnsi="Arial" w:cs="Arial"/>
          <w:sz w:val="24"/>
          <w:szCs w:val="24"/>
        </w:rPr>
        <w:t xml:space="preserve"> </w:t>
      </w:r>
      <w:r w:rsidRPr="00104712">
        <w:rPr>
          <w:rFonts w:ascii="Arial" w:hAnsi="Arial" w:cs="Arial"/>
          <w:sz w:val="24"/>
          <w:szCs w:val="24"/>
        </w:rPr>
        <w:t xml:space="preserve">Section 77 of the FOI Act makes it an offence to alter, deface, block, erase, destroy or conceal any information from </w:t>
      </w:r>
      <w:proofErr w:type="gramStart"/>
      <w:r w:rsidRPr="00104712">
        <w:rPr>
          <w:rFonts w:ascii="Arial" w:hAnsi="Arial" w:cs="Arial"/>
          <w:sz w:val="24"/>
          <w:szCs w:val="24"/>
        </w:rPr>
        <w:t>disclosure which</w:t>
      </w:r>
      <w:proofErr w:type="gramEnd"/>
      <w:r w:rsidRPr="00104712">
        <w:rPr>
          <w:rFonts w:ascii="Arial" w:hAnsi="Arial" w:cs="Arial"/>
          <w:sz w:val="24"/>
          <w:szCs w:val="24"/>
        </w:rPr>
        <w:t xml:space="preserve"> is held by the Practice.</w:t>
      </w:r>
    </w:p>
    <w:p w14:paraId="19AE8806"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Practice will: </w:t>
      </w:r>
    </w:p>
    <w:p w14:paraId="57A51A61"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Ensure that there is always one person with overall operational responsibility for FOI available within standard business hours.</w:t>
      </w:r>
    </w:p>
    <w:p w14:paraId="73F1F106"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Publish and maintain a Publication Scheme.</w:t>
      </w:r>
    </w:p>
    <w:p w14:paraId="23B861B3"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Provide relevant FOI training for all staff with FOI responsibilities.</w:t>
      </w:r>
    </w:p>
    <w:p w14:paraId="7388E6DE"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Provide clear lines of reporting and supervision for compliance with FOI.</w:t>
      </w:r>
    </w:p>
    <w:p w14:paraId="660DC07E"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Develop and maintain clear procedures for recognising and responding to requests for information under FOI in a timely manner to meet the requirement to respond within 20 working days.</w:t>
      </w:r>
    </w:p>
    <w:p w14:paraId="389E86B4" w14:textId="77777777" w:rsidR="00104712" w:rsidRPr="00104712" w:rsidRDefault="00104712" w:rsidP="00104712">
      <w:pPr>
        <w:pStyle w:val="ListParagraph"/>
        <w:numPr>
          <w:ilvl w:val="0"/>
          <w:numId w:val="3"/>
        </w:numPr>
        <w:jc w:val="both"/>
        <w:rPr>
          <w:rFonts w:ascii="Arial" w:hAnsi="Arial" w:cs="Arial"/>
          <w:sz w:val="24"/>
          <w:szCs w:val="24"/>
        </w:rPr>
      </w:pPr>
      <w:r w:rsidRPr="00104712">
        <w:rPr>
          <w:rFonts w:ascii="Arial" w:hAnsi="Arial" w:cs="Arial"/>
          <w:sz w:val="24"/>
          <w:szCs w:val="24"/>
        </w:rPr>
        <w:t>Support a comprehensive Records Management Strategy that compliments FOI.</w:t>
      </w:r>
    </w:p>
    <w:p w14:paraId="67B05F81" w14:textId="77777777" w:rsidR="00104712" w:rsidRPr="00104712" w:rsidRDefault="00104712" w:rsidP="00104712">
      <w:pPr>
        <w:jc w:val="both"/>
        <w:rPr>
          <w:rFonts w:ascii="Arial" w:hAnsi="Arial" w:cs="Arial"/>
          <w:sz w:val="24"/>
          <w:szCs w:val="24"/>
        </w:rPr>
      </w:pPr>
    </w:p>
    <w:p w14:paraId="744CC196" w14:textId="48C9DB5C" w:rsidR="00104712" w:rsidRPr="00104712" w:rsidRDefault="00104712" w:rsidP="00104712">
      <w:pPr>
        <w:rPr>
          <w:rFonts w:ascii="Arial" w:hAnsi="Arial" w:cs="Arial"/>
          <w:b/>
          <w:bCs/>
          <w:color w:val="2F5496" w:themeColor="accent1" w:themeShade="BF"/>
          <w:sz w:val="24"/>
          <w:szCs w:val="24"/>
        </w:rPr>
      </w:pPr>
      <w:bookmarkStart w:id="15" w:name="_Toc70317855"/>
      <w:bookmarkStart w:id="16" w:name="_Toc70317895"/>
      <w:r w:rsidRPr="00104712">
        <w:rPr>
          <w:rFonts w:ascii="Arial" w:hAnsi="Arial" w:cs="Arial"/>
          <w:b/>
          <w:bCs/>
          <w:color w:val="2F5496" w:themeColor="accent1" w:themeShade="BF"/>
          <w:sz w:val="24"/>
          <w:szCs w:val="24"/>
        </w:rPr>
        <w:t>Management Responsibilities</w:t>
      </w:r>
      <w:bookmarkEnd w:id="15"/>
      <w:bookmarkEnd w:id="16"/>
    </w:p>
    <w:p w14:paraId="3FAB7CA5" w14:textId="4A130673"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w:t>
      </w:r>
      <w:r w:rsidR="00FA4401" w:rsidRPr="00FA4401">
        <w:rPr>
          <w:rFonts w:ascii="Arial" w:hAnsi="Arial" w:cs="Arial"/>
          <w:sz w:val="24"/>
          <w:szCs w:val="24"/>
        </w:rPr>
        <w:t>Practice Manager/Senior Partner</w:t>
      </w:r>
      <w:r w:rsidRPr="00104712">
        <w:rPr>
          <w:rFonts w:ascii="Arial" w:hAnsi="Arial" w:cs="Arial"/>
          <w:sz w:val="24"/>
          <w:szCs w:val="24"/>
        </w:rPr>
        <w:t xml:space="preserve"> will make provision to approve draft responses to FOI and EIR requests for the Practice. The Practice’s appointed staff member(s) responsible for FOI are/is the</w:t>
      </w:r>
      <w:r w:rsidR="00FA4401" w:rsidRPr="00FA4401">
        <w:rPr>
          <w:rFonts w:ascii="Arial" w:hAnsi="Arial" w:cs="Arial"/>
          <w:sz w:val="24"/>
          <w:szCs w:val="24"/>
        </w:rPr>
        <w:t xml:space="preserve"> </w:t>
      </w:r>
      <w:r w:rsidR="00FA4401" w:rsidRPr="00FA4401">
        <w:rPr>
          <w:rFonts w:ascii="Arial" w:hAnsi="Arial" w:cs="Arial"/>
          <w:sz w:val="24"/>
          <w:szCs w:val="24"/>
        </w:rPr>
        <w:t>Practice Manager/Senior Partner</w:t>
      </w:r>
      <w:r w:rsidR="00FA4401" w:rsidRPr="00104712">
        <w:rPr>
          <w:rFonts w:ascii="Arial" w:hAnsi="Arial" w:cs="Arial"/>
          <w:sz w:val="24"/>
          <w:szCs w:val="24"/>
        </w:rPr>
        <w:t xml:space="preserve"> </w:t>
      </w:r>
      <w:r w:rsidRPr="00104712">
        <w:rPr>
          <w:rFonts w:ascii="Arial" w:hAnsi="Arial" w:cs="Arial"/>
          <w:sz w:val="24"/>
          <w:szCs w:val="24"/>
        </w:rPr>
        <w:t xml:space="preserve">They are responsible for the day-to-day management of compliance with the Act. This includes: </w:t>
      </w:r>
    </w:p>
    <w:p w14:paraId="30D9A82C" w14:textId="77777777" w:rsidR="00104712" w:rsidRPr="00104712" w:rsidRDefault="00104712" w:rsidP="00104712">
      <w:pPr>
        <w:pStyle w:val="ListParagraph"/>
        <w:numPr>
          <w:ilvl w:val="0"/>
          <w:numId w:val="4"/>
        </w:numPr>
        <w:jc w:val="both"/>
        <w:rPr>
          <w:rFonts w:ascii="Arial" w:hAnsi="Arial" w:cs="Arial"/>
          <w:sz w:val="24"/>
          <w:szCs w:val="24"/>
        </w:rPr>
      </w:pPr>
      <w:r w:rsidRPr="00104712">
        <w:rPr>
          <w:rFonts w:ascii="Arial" w:hAnsi="Arial" w:cs="Arial"/>
          <w:sz w:val="24"/>
          <w:szCs w:val="24"/>
        </w:rPr>
        <w:t>Responding and co-ordinating requests for information.</w:t>
      </w:r>
    </w:p>
    <w:p w14:paraId="29157ED8" w14:textId="77777777" w:rsidR="00104712" w:rsidRPr="00104712" w:rsidRDefault="00104712" w:rsidP="00104712">
      <w:pPr>
        <w:pStyle w:val="ListParagraph"/>
        <w:numPr>
          <w:ilvl w:val="0"/>
          <w:numId w:val="4"/>
        </w:numPr>
        <w:jc w:val="both"/>
        <w:rPr>
          <w:rFonts w:ascii="Arial" w:hAnsi="Arial" w:cs="Arial"/>
          <w:sz w:val="24"/>
          <w:szCs w:val="24"/>
        </w:rPr>
      </w:pPr>
      <w:r w:rsidRPr="00104712">
        <w:rPr>
          <w:rFonts w:ascii="Arial" w:hAnsi="Arial" w:cs="Arial"/>
          <w:sz w:val="24"/>
          <w:szCs w:val="24"/>
        </w:rPr>
        <w:t xml:space="preserve">The implementing of an appropriate FOI procedure, detailing guidance and good practice, and </w:t>
      </w:r>
      <w:proofErr w:type="gramStart"/>
      <w:r w:rsidRPr="00104712">
        <w:rPr>
          <w:rFonts w:ascii="Arial" w:hAnsi="Arial" w:cs="Arial"/>
          <w:sz w:val="24"/>
          <w:szCs w:val="24"/>
        </w:rPr>
        <w:t>it’s</w:t>
      </w:r>
      <w:proofErr w:type="gramEnd"/>
      <w:r w:rsidRPr="00104712">
        <w:rPr>
          <w:rFonts w:ascii="Arial" w:hAnsi="Arial" w:cs="Arial"/>
          <w:sz w:val="24"/>
          <w:szCs w:val="24"/>
        </w:rPr>
        <w:t xml:space="preserve"> promotion to staff.</w:t>
      </w:r>
    </w:p>
    <w:p w14:paraId="38AFFCA9" w14:textId="77777777" w:rsidR="00104712" w:rsidRPr="00104712" w:rsidRDefault="00104712" w:rsidP="00104712">
      <w:pPr>
        <w:pStyle w:val="ListParagraph"/>
        <w:numPr>
          <w:ilvl w:val="0"/>
          <w:numId w:val="4"/>
        </w:numPr>
        <w:jc w:val="both"/>
        <w:rPr>
          <w:rFonts w:ascii="Arial" w:hAnsi="Arial" w:cs="Arial"/>
          <w:sz w:val="24"/>
          <w:szCs w:val="24"/>
        </w:rPr>
      </w:pPr>
      <w:r w:rsidRPr="00104712">
        <w:rPr>
          <w:rFonts w:ascii="Arial" w:hAnsi="Arial" w:cs="Arial"/>
          <w:sz w:val="24"/>
          <w:szCs w:val="24"/>
        </w:rPr>
        <w:t>The maintenance and review of the Practice’s publication scheme.</w:t>
      </w:r>
    </w:p>
    <w:p w14:paraId="527CB137" w14:textId="77777777" w:rsidR="00104712" w:rsidRPr="00104712" w:rsidRDefault="00104712" w:rsidP="00104712">
      <w:pPr>
        <w:pStyle w:val="ListParagraph"/>
        <w:numPr>
          <w:ilvl w:val="0"/>
          <w:numId w:val="4"/>
        </w:numPr>
        <w:jc w:val="both"/>
        <w:rPr>
          <w:rFonts w:ascii="Arial" w:hAnsi="Arial" w:cs="Arial"/>
          <w:sz w:val="24"/>
          <w:szCs w:val="24"/>
        </w:rPr>
      </w:pPr>
      <w:r w:rsidRPr="00104712">
        <w:rPr>
          <w:rFonts w:ascii="Arial" w:hAnsi="Arial" w:cs="Arial"/>
          <w:sz w:val="24"/>
          <w:szCs w:val="24"/>
        </w:rPr>
        <w:t>They will also be responsible for conducting any Internal Reviews which may arise following FOI/EIR requests.</w:t>
      </w:r>
    </w:p>
    <w:p w14:paraId="14A7724F" w14:textId="77777777" w:rsidR="00104712" w:rsidRPr="00104712" w:rsidRDefault="00104712" w:rsidP="00104712">
      <w:pPr>
        <w:jc w:val="both"/>
        <w:rPr>
          <w:rFonts w:ascii="Arial" w:hAnsi="Arial" w:cs="Arial"/>
          <w:sz w:val="24"/>
          <w:szCs w:val="24"/>
        </w:rPr>
      </w:pPr>
    </w:p>
    <w:p w14:paraId="76D906AE" w14:textId="02F12321" w:rsidR="00104712" w:rsidRPr="00104712" w:rsidRDefault="00104712" w:rsidP="00104712">
      <w:pPr>
        <w:rPr>
          <w:rFonts w:ascii="Arial" w:hAnsi="Arial" w:cs="Arial"/>
          <w:b/>
          <w:bCs/>
          <w:color w:val="2F5496" w:themeColor="accent1" w:themeShade="BF"/>
          <w:sz w:val="24"/>
          <w:szCs w:val="24"/>
        </w:rPr>
      </w:pPr>
      <w:bookmarkStart w:id="17" w:name="_Toc70317856"/>
      <w:bookmarkStart w:id="18" w:name="_Toc70317896"/>
      <w:r w:rsidRPr="00104712">
        <w:rPr>
          <w:rFonts w:ascii="Arial" w:hAnsi="Arial" w:cs="Arial"/>
          <w:b/>
          <w:bCs/>
          <w:color w:val="2F5496" w:themeColor="accent1" w:themeShade="BF"/>
          <w:sz w:val="24"/>
          <w:szCs w:val="24"/>
        </w:rPr>
        <w:t>Employee Responsibilities</w:t>
      </w:r>
      <w:bookmarkEnd w:id="17"/>
      <w:bookmarkEnd w:id="18"/>
    </w:p>
    <w:p w14:paraId="7EE23413" w14:textId="28BD5CB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All Practice staff have a responsibility to assist the </w:t>
      </w:r>
      <w:r w:rsidR="00FA4401" w:rsidRPr="00FA4401">
        <w:rPr>
          <w:rFonts w:ascii="Arial" w:hAnsi="Arial" w:cs="Arial"/>
          <w:sz w:val="24"/>
          <w:szCs w:val="24"/>
        </w:rPr>
        <w:t>Practice Manager/Senior Partner</w:t>
      </w:r>
      <w:r w:rsidR="00FA4401" w:rsidRPr="00104712">
        <w:rPr>
          <w:rFonts w:ascii="Arial" w:hAnsi="Arial" w:cs="Arial"/>
          <w:sz w:val="24"/>
          <w:szCs w:val="24"/>
        </w:rPr>
        <w:t xml:space="preserve"> </w:t>
      </w:r>
      <w:r w:rsidRPr="00104712">
        <w:rPr>
          <w:rFonts w:ascii="Arial" w:hAnsi="Arial" w:cs="Arial"/>
          <w:sz w:val="24"/>
          <w:szCs w:val="24"/>
        </w:rPr>
        <w:t xml:space="preserve">with their responding of requests for information in accordance with the FOI Act. All necessary information, advice and assistance shall be provided, when requested to do so for the purpose of responding to </w:t>
      </w:r>
      <w:r w:rsidRPr="00104712">
        <w:rPr>
          <w:rFonts w:ascii="Arial" w:hAnsi="Arial" w:cs="Arial"/>
          <w:sz w:val="24"/>
          <w:szCs w:val="24"/>
        </w:rPr>
        <w:lastRenderedPageBreak/>
        <w:t>requests for information. Penalties can be imposed upon both the Practice and its staff for breaching the FOI Act.</w:t>
      </w:r>
    </w:p>
    <w:p w14:paraId="46F4A846"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All employees have a legal duty to preserve formal records. Employees must also ensure information is recorded correctly, accurately, adequately named and indexed for easy retrieval or publication. Poor records management practices are not offences in themselves, however they may lead to an inability to comply with requirements of the Freedom of Information Act.</w:t>
      </w:r>
    </w:p>
    <w:p w14:paraId="32E86A82"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All employees will, through appropriate training and responsible management:</w:t>
      </w:r>
    </w:p>
    <w:p w14:paraId="194AD858" w14:textId="77777777" w:rsidR="00104712" w:rsidRPr="00104712" w:rsidRDefault="00104712" w:rsidP="00104712">
      <w:pPr>
        <w:pStyle w:val="ListParagraph"/>
        <w:numPr>
          <w:ilvl w:val="0"/>
          <w:numId w:val="5"/>
        </w:numPr>
        <w:jc w:val="both"/>
        <w:rPr>
          <w:rFonts w:ascii="Arial" w:hAnsi="Arial" w:cs="Arial"/>
          <w:sz w:val="24"/>
          <w:szCs w:val="24"/>
        </w:rPr>
      </w:pPr>
      <w:r w:rsidRPr="00104712">
        <w:rPr>
          <w:rFonts w:ascii="Arial" w:hAnsi="Arial" w:cs="Arial"/>
          <w:sz w:val="24"/>
          <w:szCs w:val="24"/>
        </w:rPr>
        <w:t>Observe and adhere to all of the Practice’s forms of guidance, codes of practice and procedures about the storage, closure, retention and disposal of documents and records.</w:t>
      </w:r>
    </w:p>
    <w:p w14:paraId="675A56A6" w14:textId="77777777" w:rsidR="00104712" w:rsidRPr="00104712" w:rsidRDefault="00104712" w:rsidP="00104712">
      <w:pPr>
        <w:pStyle w:val="ListParagraph"/>
        <w:jc w:val="both"/>
        <w:rPr>
          <w:rFonts w:ascii="Arial" w:hAnsi="Arial" w:cs="Arial"/>
          <w:sz w:val="24"/>
          <w:szCs w:val="24"/>
        </w:rPr>
      </w:pPr>
    </w:p>
    <w:p w14:paraId="0FBAFE5E" w14:textId="77777777" w:rsidR="00104712" w:rsidRPr="00104712" w:rsidRDefault="00104712" w:rsidP="00104712">
      <w:pPr>
        <w:pStyle w:val="ListParagraph"/>
        <w:numPr>
          <w:ilvl w:val="0"/>
          <w:numId w:val="5"/>
        </w:numPr>
        <w:jc w:val="both"/>
        <w:rPr>
          <w:rFonts w:ascii="Arial" w:hAnsi="Arial" w:cs="Arial"/>
          <w:sz w:val="24"/>
          <w:szCs w:val="24"/>
        </w:rPr>
      </w:pPr>
      <w:r w:rsidRPr="00104712">
        <w:rPr>
          <w:rFonts w:ascii="Arial" w:hAnsi="Arial" w:cs="Arial"/>
          <w:sz w:val="24"/>
          <w:szCs w:val="24"/>
        </w:rPr>
        <w:t>Undertake any formal FOI training which the Practice deems to be relevant to that person’s role.</w:t>
      </w:r>
    </w:p>
    <w:p w14:paraId="13BD0A62" w14:textId="77777777" w:rsidR="00104712" w:rsidRPr="00104712" w:rsidRDefault="00104712" w:rsidP="00104712">
      <w:pPr>
        <w:pStyle w:val="ListParagraph"/>
        <w:jc w:val="both"/>
        <w:rPr>
          <w:rFonts w:ascii="Arial" w:hAnsi="Arial" w:cs="Arial"/>
          <w:sz w:val="24"/>
          <w:szCs w:val="24"/>
        </w:rPr>
      </w:pPr>
    </w:p>
    <w:p w14:paraId="564407D9" w14:textId="77777777" w:rsidR="00104712" w:rsidRPr="00104712" w:rsidRDefault="00104712" w:rsidP="00104712">
      <w:pPr>
        <w:pStyle w:val="ListParagraph"/>
        <w:numPr>
          <w:ilvl w:val="0"/>
          <w:numId w:val="5"/>
        </w:numPr>
        <w:jc w:val="both"/>
        <w:rPr>
          <w:rFonts w:ascii="Arial" w:hAnsi="Arial" w:cs="Arial"/>
          <w:sz w:val="24"/>
          <w:szCs w:val="24"/>
        </w:rPr>
      </w:pPr>
      <w:r w:rsidRPr="00104712">
        <w:rPr>
          <w:rFonts w:ascii="Arial" w:hAnsi="Arial" w:cs="Arial"/>
          <w:sz w:val="24"/>
          <w:szCs w:val="24"/>
        </w:rPr>
        <w:t>Be aware that ultimately the general public may have access to any piece of information held within the Practice and must pay due regard to how they record information as part of their normal duties.</w:t>
      </w:r>
    </w:p>
    <w:p w14:paraId="0AEDFD28" w14:textId="77777777" w:rsidR="00104712" w:rsidRPr="00104712" w:rsidRDefault="00104712" w:rsidP="00104712">
      <w:pPr>
        <w:pStyle w:val="ListParagraph"/>
        <w:jc w:val="both"/>
        <w:rPr>
          <w:rFonts w:ascii="Arial" w:hAnsi="Arial" w:cs="Arial"/>
          <w:sz w:val="24"/>
          <w:szCs w:val="24"/>
        </w:rPr>
      </w:pPr>
    </w:p>
    <w:p w14:paraId="67159B88" w14:textId="77777777" w:rsidR="00104712" w:rsidRPr="00104712" w:rsidRDefault="00104712" w:rsidP="00104712">
      <w:pPr>
        <w:pStyle w:val="ListParagraph"/>
        <w:numPr>
          <w:ilvl w:val="0"/>
          <w:numId w:val="5"/>
        </w:numPr>
        <w:jc w:val="both"/>
        <w:rPr>
          <w:rFonts w:ascii="Arial" w:hAnsi="Arial" w:cs="Arial"/>
          <w:sz w:val="24"/>
          <w:szCs w:val="24"/>
        </w:rPr>
      </w:pPr>
      <w:r w:rsidRPr="00104712">
        <w:rPr>
          <w:rFonts w:ascii="Arial" w:hAnsi="Arial" w:cs="Arial"/>
          <w:sz w:val="24"/>
          <w:szCs w:val="24"/>
        </w:rPr>
        <w:t>Understand that breaches of this Policy may result in disciplinary action, including dismissal.</w:t>
      </w:r>
    </w:p>
    <w:p w14:paraId="42FC8C7E" w14:textId="77777777" w:rsidR="00104712" w:rsidRPr="00104712" w:rsidRDefault="00104712" w:rsidP="00104712">
      <w:pPr>
        <w:pStyle w:val="ListParagraph"/>
        <w:jc w:val="both"/>
        <w:rPr>
          <w:rFonts w:ascii="Arial" w:hAnsi="Arial" w:cs="Arial"/>
        </w:rPr>
      </w:pPr>
    </w:p>
    <w:p w14:paraId="6DA6A0AD" w14:textId="77777777" w:rsidR="00104712" w:rsidRPr="00104712" w:rsidRDefault="00104712" w:rsidP="00104712">
      <w:pPr>
        <w:jc w:val="both"/>
        <w:rPr>
          <w:rFonts w:ascii="Arial" w:hAnsi="Arial" w:cs="Arial"/>
        </w:rPr>
      </w:pPr>
    </w:p>
    <w:p w14:paraId="2C6F040F" w14:textId="2ED00A7B" w:rsidR="00104712" w:rsidRPr="00104712" w:rsidRDefault="00104712" w:rsidP="00104712">
      <w:pPr>
        <w:pStyle w:val="Heading1"/>
        <w:numPr>
          <w:ilvl w:val="0"/>
          <w:numId w:val="1"/>
        </w:numPr>
        <w:jc w:val="both"/>
        <w:rPr>
          <w:rFonts w:ascii="Arial" w:hAnsi="Arial" w:cs="Arial"/>
          <w:b/>
          <w:bCs/>
          <w:sz w:val="28"/>
          <w:szCs w:val="28"/>
        </w:rPr>
      </w:pPr>
      <w:bookmarkStart w:id="19" w:name="_Toc70317857"/>
      <w:bookmarkStart w:id="20" w:name="_Toc70317897"/>
      <w:r w:rsidRPr="00104712">
        <w:rPr>
          <w:rFonts w:ascii="Arial" w:hAnsi="Arial" w:cs="Arial"/>
          <w:b/>
          <w:bCs/>
          <w:sz w:val="28"/>
          <w:szCs w:val="28"/>
        </w:rPr>
        <w:t xml:space="preserve"> </w:t>
      </w:r>
      <w:bookmarkStart w:id="21" w:name="_Toc70318365"/>
      <w:r w:rsidRPr="00104712">
        <w:rPr>
          <w:rFonts w:ascii="Arial" w:hAnsi="Arial" w:cs="Arial"/>
          <w:b/>
          <w:bCs/>
          <w:sz w:val="28"/>
          <w:szCs w:val="28"/>
        </w:rPr>
        <w:t>Policy</w:t>
      </w:r>
      <w:bookmarkEnd w:id="19"/>
      <w:bookmarkEnd w:id="20"/>
      <w:bookmarkEnd w:id="21"/>
    </w:p>
    <w:p w14:paraId="39FB8CFD"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 Practice will adhere to the following:</w:t>
      </w:r>
    </w:p>
    <w:p w14:paraId="025CA213" w14:textId="77777777" w:rsidR="00104712" w:rsidRPr="00104712" w:rsidRDefault="00104712" w:rsidP="00104712">
      <w:pPr>
        <w:pStyle w:val="ListParagraph"/>
        <w:numPr>
          <w:ilvl w:val="0"/>
          <w:numId w:val="6"/>
        </w:numPr>
        <w:jc w:val="both"/>
        <w:rPr>
          <w:rFonts w:ascii="Arial" w:hAnsi="Arial" w:cs="Arial"/>
          <w:sz w:val="24"/>
          <w:szCs w:val="24"/>
        </w:rPr>
      </w:pPr>
      <w:r w:rsidRPr="00104712">
        <w:rPr>
          <w:rFonts w:ascii="Arial" w:hAnsi="Arial" w:cs="Arial"/>
          <w:sz w:val="24"/>
          <w:szCs w:val="24"/>
        </w:rPr>
        <w:t>Information which is routinely published by the Practice is made available in accordance with the Practice’s Publication Scheme.</w:t>
      </w:r>
    </w:p>
    <w:p w14:paraId="36C2766A" w14:textId="77777777" w:rsidR="00104712" w:rsidRPr="00104712" w:rsidRDefault="00104712" w:rsidP="00104712">
      <w:pPr>
        <w:pStyle w:val="ListParagraph"/>
        <w:jc w:val="both"/>
        <w:rPr>
          <w:rFonts w:ascii="Arial" w:hAnsi="Arial" w:cs="Arial"/>
          <w:sz w:val="24"/>
          <w:szCs w:val="24"/>
        </w:rPr>
      </w:pPr>
    </w:p>
    <w:p w14:paraId="5D458D3C" w14:textId="77777777" w:rsidR="00104712" w:rsidRPr="00104712" w:rsidRDefault="00104712" w:rsidP="00104712">
      <w:pPr>
        <w:pStyle w:val="ListParagraph"/>
        <w:numPr>
          <w:ilvl w:val="0"/>
          <w:numId w:val="6"/>
        </w:numPr>
        <w:jc w:val="both"/>
        <w:rPr>
          <w:rFonts w:ascii="Arial" w:hAnsi="Arial" w:cs="Arial"/>
          <w:sz w:val="24"/>
          <w:szCs w:val="24"/>
        </w:rPr>
      </w:pPr>
      <w:r w:rsidRPr="00104712">
        <w:rPr>
          <w:rFonts w:ascii="Arial" w:hAnsi="Arial" w:cs="Arial"/>
          <w:sz w:val="24"/>
          <w:szCs w:val="24"/>
        </w:rPr>
        <w:t>Information which is not covered by the Publication Scheme is made available to enquirers upon request, within 20 working days, unless a valid exemption or limitation applies.</w:t>
      </w:r>
    </w:p>
    <w:p w14:paraId="504827A3" w14:textId="77777777" w:rsidR="00104712" w:rsidRPr="00104712" w:rsidRDefault="00104712" w:rsidP="00104712">
      <w:pPr>
        <w:pStyle w:val="ListParagraph"/>
        <w:jc w:val="both"/>
        <w:rPr>
          <w:rFonts w:ascii="Arial" w:hAnsi="Arial" w:cs="Arial"/>
          <w:sz w:val="24"/>
          <w:szCs w:val="24"/>
        </w:rPr>
      </w:pPr>
    </w:p>
    <w:p w14:paraId="7B25872E" w14:textId="77777777" w:rsidR="00104712" w:rsidRPr="00104712" w:rsidRDefault="00104712" w:rsidP="00104712">
      <w:pPr>
        <w:pStyle w:val="ListParagraph"/>
        <w:numPr>
          <w:ilvl w:val="0"/>
          <w:numId w:val="6"/>
        </w:numPr>
        <w:jc w:val="both"/>
        <w:rPr>
          <w:rFonts w:ascii="Arial" w:hAnsi="Arial" w:cs="Arial"/>
          <w:sz w:val="24"/>
          <w:szCs w:val="24"/>
        </w:rPr>
      </w:pPr>
      <w:r w:rsidRPr="00104712">
        <w:rPr>
          <w:rFonts w:ascii="Arial" w:hAnsi="Arial" w:cs="Arial"/>
          <w:sz w:val="24"/>
          <w:szCs w:val="24"/>
        </w:rPr>
        <w:t>Exemptions under the FOI Act, EIR, Data Protection Act 2018, General Data Protection Regulation and other relevant legislation(s) are applied appropriately.</w:t>
      </w:r>
    </w:p>
    <w:p w14:paraId="69BFF049" w14:textId="77777777" w:rsidR="00104712" w:rsidRPr="00104712" w:rsidRDefault="00104712" w:rsidP="00104712">
      <w:pPr>
        <w:pStyle w:val="ListParagraph"/>
        <w:jc w:val="both"/>
        <w:rPr>
          <w:rFonts w:ascii="Arial" w:hAnsi="Arial" w:cs="Arial"/>
          <w:sz w:val="24"/>
          <w:szCs w:val="24"/>
        </w:rPr>
      </w:pPr>
    </w:p>
    <w:p w14:paraId="03721509" w14:textId="77777777" w:rsidR="00104712" w:rsidRPr="00104712" w:rsidRDefault="00104712" w:rsidP="00104712">
      <w:pPr>
        <w:pStyle w:val="ListParagraph"/>
        <w:numPr>
          <w:ilvl w:val="0"/>
          <w:numId w:val="6"/>
        </w:numPr>
        <w:jc w:val="both"/>
        <w:rPr>
          <w:rFonts w:ascii="Arial" w:hAnsi="Arial" w:cs="Arial"/>
          <w:sz w:val="24"/>
          <w:szCs w:val="24"/>
        </w:rPr>
      </w:pPr>
      <w:r w:rsidRPr="00104712">
        <w:rPr>
          <w:rFonts w:ascii="Arial" w:hAnsi="Arial" w:cs="Arial"/>
          <w:sz w:val="24"/>
          <w:szCs w:val="24"/>
        </w:rPr>
        <w:t>A fair and efficient internal review system is administered.</w:t>
      </w:r>
    </w:p>
    <w:p w14:paraId="4A9DBF0E" w14:textId="77777777" w:rsidR="00104712" w:rsidRPr="00104712" w:rsidRDefault="00104712" w:rsidP="00104712">
      <w:pPr>
        <w:pStyle w:val="ListParagraph"/>
        <w:jc w:val="both"/>
        <w:rPr>
          <w:rFonts w:ascii="Arial" w:hAnsi="Arial" w:cs="Arial"/>
          <w:sz w:val="24"/>
          <w:szCs w:val="24"/>
        </w:rPr>
      </w:pPr>
    </w:p>
    <w:p w14:paraId="20B74C30" w14:textId="77777777" w:rsidR="00104712" w:rsidRPr="00104712" w:rsidRDefault="00104712" w:rsidP="00104712">
      <w:pPr>
        <w:pStyle w:val="ListParagraph"/>
        <w:numPr>
          <w:ilvl w:val="0"/>
          <w:numId w:val="6"/>
        </w:numPr>
        <w:jc w:val="both"/>
        <w:rPr>
          <w:rFonts w:ascii="Arial" w:hAnsi="Arial" w:cs="Arial"/>
          <w:sz w:val="24"/>
          <w:szCs w:val="24"/>
        </w:rPr>
      </w:pPr>
      <w:r w:rsidRPr="00104712">
        <w:rPr>
          <w:rFonts w:ascii="Arial" w:hAnsi="Arial" w:cs="Arial"/>
          <w:sz w:val="24"/>
          <w:szCs w:val="24"/>
        </w:rPr>
        <w:t>A structured approach to managing records is in place to ensure that essential records of the Practices records are maintained in appropriate detail.</w:t>
      </w:r>
    </w:p>
    <w:p w14:paraId="32F28795" w14:textId="6459DFFB" w:rsidR="00104712" w:rsidRDefault="00104712" w:rsidP="00104712">
      <w:pPr>
        <w:jc w:val="both"/>
        <w:rPr>
          <w:rFonts w:ascii="Arial" w:hAnsi="Arial" w:cs="Arial"/>
          <w:sz w:val="24"/>
          <w:szCs w:val="24"/>
        </w:rPr>
      </w:pPr>
    </w:p>
    <w:p w14:paraId="66F29EE3" w14:textId="580FEA9A" w:rsidR="00104712" w:rsidRDefault="00104712" w:rsidP="00104712">
      <w:pPr>
        <w:jc w:val="both"/>
        <w:rPr>
          <w:rFonts w:ascii="Arial" w:hAnsi="Arial" w:cs="Arial"/>
          <w:sz w:val="24"/>
          <w:szCs w:val="24"/>
        </w:rPr>
      </w:pPr>
    </w:p>
    <w:p w14:paraId="75A7FEB1" w14:textId="77777777" w:rsidR="00104712" w:rsidRPr="00104712" w:rsidRDefault="00104712" w:rsidP="00104712">
      <w:pPr>
        <w:jc w:val="both"/>
        <w:rPr>
          <w:rFonts w:ascii="Arial" w:hAnsi="Arial" w:cs="Arial"/>
          <w:sz w:val="24"/>
          <w:szCs w:val="24"/>
        </w:rPr>
      </w:pPr>
    </w:p>
    <w:p w14:paraId="1D48372C" w14:textId="79DA717A" w:rsidR="00104712" w:rsidRDefault="00104712" w:rsidP="00104712">
      <w:pPr>
        <w:pStyle w:val="Heading1"/>
        <w:numPr>
          <w:ilvl w:val="0"/>
          <w:numId w:val="1"/>
        </w:numPr>
        <w:jc w:val="both"/>
        <w:rPr>
          <w:rFonts w:ascii="Arial" w:hAnsi="Arial" w:cs="Arial"/>
          <w:b/>
          <w:bCs/>
          <w:sz w:val="28"/>
          <w:szCs w:val="28"/>
        </w:rPr>
      </w:pPr>
      <w:bookmarkStart w:id="22" w:name="_Toc70317858"/>
      <w:bookmarkStart w:id="23" w:name="_Toc70317898"/>
      <w:r>
        <w:rPr>
          <w:rFonts w:ascii="Arial" w:hAnsi="Arial" w:cs="Arial"/>
          <w:b/>
          <w:bCs/>
          <w:color w:val="2E74B5" w:themeColor="accent5" w:themeShade="BF"/>
          <w:sz w:val="28"/>
          <w:szCs w:val="28"/>
        </w:rPr>
        <w:t xml:space="preserve"> </w:t>
      </w:r>
      <w:bookmarkStart w:id="24" w:name="_Toc70318366"/>
      <w:r w:rsidRPr="00104712">
        <w:rPr>
          <w:rFonts w:ascii="Arial" w:hAnsi="Arial" w:cs="Arial"/>
          <w:b/>
          <w:bCs/>
          <w:sz w:val="28"/>
          <w:szCs w:val="28"/>
        </w:rPr>
        <w:t>Making a Request for Information</w:t>
      </w:r>
      <w:bookmarkEnd w:id="22"/>
      <w:bookmarkEnd w:id="23"/>
      <w:bookmarkEnd w:id="24"/>
    </w:p>
    <w:p w14:paraId="4C404124" w14:textId="77777777" w:rsidR="00104712" w:rsidRPr="00104712" w:rsidRDefault="00104712" w:rsidP="00104712"/>
    <w:p w14:paraId="767956DE" w14:textId="0F3ED8DB" w:rsidR="00104712" w:rsidRPr="00104712" w:rsidRDefault="00104712" w:rsidP="00104712">
      <w:pPr>
        <w:rPr>
          <w:rFonts w:ascii="Arial" w:hAnsi="Arial" w:cs="Arial"/>
          <w:b/>
          <w:bCs/>
          <w:color w:val="2F5496" w:themeColor="accent1" w:themeShade="BF"/>
          <w:sz w:val="24"/>
          <w:szCs w:val="24"/>
        </w:rPr>
      </w:pPr>
      <w:bookmarkStart w:id="25" w:name="_Toc70317859"/>
      <w:bookmarkStart w:id="26" w:name="_Toc70317899"/>
      <w:r w:rsidRPr="00104712">
        <w:rPr>
          <w:rFonts w:ascii="Arial" w:hAnsi="Arial" w:cs="Arial"/>
          <w:b/>
          <w:bCs/>
          <w:color w:val="2F5496" w:themeColor="accent1" w:themeShade="BF"/>
          <w:sz w:val="24"/>
          <w:szCs w:val="24"/>
        </w:rPr>
        <w:t>Contacting the Practice</w:t>
      </w:r>
      <w:bookmarkEnd w:id="25"/>
      <w:bookmarkEnd w:id="26"/>
    </w:p>
    <w:p w14:paraId="28067238"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Under Section 8 of the FOI Act, a valid request must:</w:t>
      </w:r>
    </w:p>
    <w:p w14:paraId="1A5893A8" w14:textId="77777777" w:rsidR="00104712" w:rsidRPr="00104712" w:rsidRDefault="00104712" w:rsidP="00104712">
      <w:pPr>
        <w:pStyle w:val="ListParagraph"/>
        <w:numPr>
          <w:ilvl w:val="0"/>
          <w:numId w:val="7"/>
        </w:numPr>
        <w:jc w:val="both"/>
        <w:rPr>
          <w:rFonts w:ascii="Arial" w:hAnsi="Arial" w:cs="Arial"/>
          <w:sz w:val="24"/>
          <w:szCs w:val="24"/>
        </w:rPr>
      </w:pPr>
      <w:r w:rsidRPr="00104712">
        <w:rPr>
          <w:rFonts w:ascii="Arial" w:hAnsi="Arial" w:cs="Arial"/>
          <w:sz w:val="24"/>
          <w:szCs w:val="24"/>
        </w:rPr>
        <w:lastRenderedPageBreak/>
        <w:t>Be in writing.</w:t>
      </w:r>
    </w:p>
    <w:p w14:paraId="5325482E" w14:textId="77777777" w:rsidR="00104712" w:rsidRPr="00104712" w:rsidRDefault="00104712" w:rsidP="00104712">
      <w:pPr>
        <w:pStyle w:val="ListParagraph"/>
        <w:numPr>
          <w:ilvl w:val="0"/>
          <w:numId w:val="7"/>
        </w:numPr>
        <w:jc w:val="both"/>
        <w:rPr>
          <w:rFonts w:ascii="Arial" w:hAnsi="Arial" w:cs="Arial"/>
          <w:sz w:val="24"/>
          <w:szCs w:val="24"/>
        </w:rPr>
      </w:pPr>
      <w:r w:rsidRPr="00104712">
        <w:rPr>
          <w:rFonts w:ascii="Arial" w:hAnsi="Arial" w:cs="Arial"/>
          <w:sz w:val="24"/>
          <w:szCs w:val="24"/>
        </w:rPr>
        <w:t>State the name of the applicant and a valid address or e-mail address for correspondence.</w:t>
      </w:r>
    </w:p>
    <w:p w14:paraId="584EF6BC" w14:textId="77777777" w:rsidR="00104712" w:rsidRPr="00104712" w:rsidRDefault="00104712" w:rsidP="00104712">
      <w:pPr>
        <w:pStyle w:val="ListParagraph"/>
        <w:numPr>
          <w:ilvl w:val="0"/>
          <w:numId w:val="7"/>
        </w:numPr>
        <w:jc w:val="both"/>
        <w:rPr>
          <w:rFonts w:ascii="Arial" w:hAnsi="Arial" w:cs="Arial"/>
          <w:sz w:val="24"/>
          <w:szCs w:val="24"/>
        </w:rPr>
      </w:pPr>
      <w:r w:rsidRPr="00104712">
        <w:rPr>
          <w:rFonts w:ascii="Arial" w:hAnsi="Arial" w:cs="Arial"/>
          <w:sz w:val="24"/>
          <w:szCs w:val="24"/>
        </w:rPr>
        <w:t>Describe the information requested.</w:t>
      </w:r>
    </w:p>
    <w:p w14:paraId="685C64F5" w14:textId="77777777" w:rsidR="00104712" w:rsidRPr="00104712" w:rsidRDefault="00104712" w:rsidP="00104712">
      <w:pPr>
        <w:pStyle w:val="ListParagraph"/>
        <w:numPr>
          <w:ilvl w:val="0"/>
          <w:numId w:val="7"/>
        </w:numPr>
        <w:jc w:val="both"/>
        <w:rPr>
          <w:rFonts w:ascii="Arial" w:hAnsi="Arial" w:cs="Arial"/>
          <w:sz w:val="24"/>
          <w:szCs w:val="24"/>
        </w:rPr>
      </w:pPr>
      <w:r w:rsidRPr="00104712">
        <w:rPr>
          <w:rFonts w:ascii="Arial" w:hAnsi="Arial" w:cs="Arial"/>
          <w:sz w:val="24"/>
          <w:szCs w:val="24"/>
        </w:rPr>
        <w:t>Be in a legible form.</w:t>
      </w:r>
    </w:p>
    <w:p w14:paraId="3B9A02F7" w14:textId="77777777" w:rsidR="00104712" w:rsidRPr="00104712" w:rsidRDefault="00104712" w:rsidP="00104712">
      <w:pPr>
        <w:pStyle w:val="ListParagraph"/>
        <w:numPr>
          <w:ilvl w:val="0"/>
          <w:numId w:val="7"/>
        </w:numPr>
        <w:jc w:val="both"/>
        <w:rPr>
          <w:rFonts w:ascii="Arial" w:hAnsi="Arial" w:cs="Arial"/>
          <w:sz w:val="24"/>
          <w:szCs w:val="24"/>
        </w:rPr>
      </w:pPr>
      <w:r w:rsidRPr="00104712">
        <w:rPr>
          <w:rFonts w:ascii="Arial" w:hAnsi="Arial" w:cs="Arial"/>
          <w:sz w:val="24"/>
          <w:szCs w:val="24"/>
        </w:rPr>
        <w:t xml:space="preserve">Be capable of being used for subsequent reference. </w:t>
      </w:r>
    </w:p>
    <w:p w14:paraId="1E709027"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term ‘in writing’ covers all requests submitted by letter or electronic form, including those sent via Social Media. The request does not have to make direct reference to the FOI Act, or be the sole or main theme of the correspondence. </w:t>
      </w:r>
    </w:p>
    <w:p w14:paraId="5F56FA83"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To help facilitate this, requesters can contact the Practice via one of the following channels (other written forms can still be accepted):</w:t>
      </w:r>
    </w:p>
    <w:p w14:paraId="26D56555" w14:textId="1CE1FC81"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In writing to: </w:t>
      </w:r>
      <w:r w:rsidR="00FA4401">
        <w:rPr>
          <w:rFonts w:ascii="Arial" w:hAnsi="Arial" w:cs="Arial"/>
          <w:sz w:val="24"/>
          <w:szCs w:val="24"/>
        </w:rPr>
        <w:t>Woodlands Surgery, Woodlands Terrace, Caerau, Maesteg, CF34 0SR</w:t>
      </w:r>
    </w:p>
    <w:p w14:paraId="639D3D60" w14:textId="2AD3F14A" w:rsidR="00104712" w:rsidRPr="00104712" w:rsidRDefault="00104712" w:rsidP="00104712">
      <w:pPr>
        <w:jc w:val="both"/>
        <w:rPr>
          <w:rFonts w:ascii="Arial" w:hAnsi="Arial" w:cs="Arial"/>
          <w:sz w:val="24"/>
          <w:szCs w:val="24"/>
        </w:rPr>
      </w:pPr>
      <w:r w:rsidRPr="00104712">
        <w:rPr>
          <w:rFonts w:ascii="Arial" w:hAnsi="Arial" w:cs="Arial"/>
          <w:sz w:val="24"/>
          <w:szCs w:val="24"/>
        </w:rPr>
        <w:t>E-mail:</w:t>
      </w:r>
      <w:r w:rsidR="00FA4401">
        <w:rPr>
          <w:rFonts w:ascii="Arial" w:hAnsi="Arial" w:cs="Arial"/>
          <w:sz w:val="24"/>
          <w:szCs w:val="24"/>
        </w:rPr>
        <w:t xml:space="preserve"> Practice.manager.w95012@wales.nhs.uk</w:t>
      </w:r>
    </w:p>
    <w:p w14:paraId="52979F6E" w14:textId="77777777" w:rsidR="00104712" w:rsidRPr="00104712" w:rsidRDefault="00104712" w:rsidP="00104712">
      <w:pPr>
        <w:jc w:val="both"/>
        <w:rPr>
          <w:rFonts w:ascii="Arial" w:hAnsi="Arial" w:cs="Arial"/>
          <w:sz w:val="24"/>
          <w:szCs w:val="24"/>
        </w:rPr>
      </w:pPr>
    </w:p>
    <w:p w14:paraId="1DCC2637" w14:textId="5C61973A" w:rsidR="00104712" w:rsidRPr="00104712" w:rsidRDefault="00104712" w:rsidP="00104712">
      <w:pPr>
        <w:rPr>
          <w:rFonts w:ascii="Arial" w:hAnsi="Arial" w:cs="Arial"/>
          <w:b/>
          <w:bCs/>
          <w:color w:val="2F5496" w:themeColor="accent1" w:themeShade="BF"/>
          <w:sz w:val="24"/>
          <w:szCs w:val="24"/>
        </w:rPr>
      </w:pPr>
      <w:bookmarkStart w:id="27" w:name="_Toc70317860"/>
      <w:bookmarkStart w:id="28" w:name="_Toc70317900"/>
      <w:r w:rsidRPr="00104712">
        <w:rPr>
          <w:rFonts w:ascii="Arial" w:hAnsi="Arial" w:cs="Arial"/>
          <w:b/>
          <w:bCs/>
          <w:color w:val="2F5496" w:themeColor="accent1" w:themeShade="BF"/>
          <w:sz w:val="24"/>
          <w:szCs w:val="24"/>
        </w:rPr>
        <w:t>Responding to the Request</w:t>
      </w:r>
      <w:bookmarkEnd w:id="27"/>
      <w:bookmarkEnd w:id="28"/>
    </w:p>
    <w:p w14:paraId="3BE2CAFF"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All requests for information will be dealt with in line with the Practice’s FOI Act and EIR Procedure. Upon receipt of the request, it will be logged into the Practice’s register of all FOI/EIR requests. </w:t>
      </w:r>
    </w:p>
    <w:p w14:paraId="06926943"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An initial response will then be sent to the requester within 3 working days of receipt of the request. This will inform the requester that the request has been received and is being processed by the practice, or after having checked the Practice’s publication scheme and website, where the information can be found if it is already in the public domain. This will be recorded in the request register, and if appropriate the request may be closed at this stage.</w:t>
      </w:r>
    </w:p>
    <w:p w14:paraId="39DCF3E6"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If the request is not precise or clear enough to be processed, the initial response to the requester will ask for clarification of the request and/or for additional information to be provided. The date of this response will be recorded in the request register, and the request’s 20 working day timeframe may be put on hold until further clarification/information is received by the Practice.</w:t>
      </w:r>
    </w:p>
    <w:p w14:paraId="6C85A01C"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If no clarification is needed, or it has been received from the requester, the Practice will then aim to identify whether, and where, the information is held. Any identified information will be reviewed and separated from information to which an exemption or exception to release may be applied. If the exemption is a qualified exemption, the public interest test will be considered.</w:t>
      </w:r>
    </w:p>
    <w:p w14:paraId="5D5C3F0B"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If information is to be released, the Practice will make a copy of the information, and make this available to the requester, either digitally (published online, sent via e-mail) or physically (sent via post).</w:t>
      </w:r>
    </w:p>
    <w:p w14:paraId="36EB5FFD"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If no information can be released, the Practice will notify the requester of the reason(s) why the information will not be disclosed. This will include the exemption in question and why it applies. If it is a qualified exemption, the Practice will also include how they have considered the public interest test.</w:t>
      </w:r>
    </w:p>
    <w:p w14:paraId="7ECE4253"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All responses will include information about the requesters right to complain and request an internal review, should they be unhappy with the way their request has been dealt with. The response will also inform the requester of their right to raise their concerns with the Information Commissioner’s Office, including their contact details.</w:t>
      </w:r>
    </w:p>
    <w:p w14:paraId="49D36D0D" w14:textId="77777777" w:rsidR="00104712" w:rsidRPr="00104712" w:rsidRDefault="00104712" w:rsidP="00104712">
      <w:pPr>
        <w:jc w:val="both"/>
        <w:rPr>
          <w:rFonts w:ascii="Arial" w:hAnsi="Arial" w:cs="Arial"/>
          <w:bCs/>
          <w:sz w:val="24"/>
          <w:szCs w:val="24"/>
        </w:rPr>
      </w:pPr>
      <w:r w:rsidRPr="00104712">
        <w:rPr>
          <w:rFonts w:ascii="Arial" w:hAnsi="Arial" w:cs="Arial"/>
          <w:bCs/>
          <w:sz w:val="24"/>
          <w:szCs w:val="24"/>
        </w:rPr>
        <w:t xml:space="preserve">Under section 16 of the FOI Act, the Practice will have a duty to advise and assist the requester, so far as it would be reasonable to expect the Practice to do so. Therefore, if the Practice is unable to </w:t>
      </w:r>
      <w:r w:rsidRPr="00104712">
        <w:rPr>
          <w:rFonts w:ascii="Arial" w:hAnsi="Arial" w:cs="Arial"/>
          <w:bCs/>
          <w:sz w:val="24"/>
          <w:szCs w:val="24"/>
        </w:rPr>
        <w:lastRenderedPageBreak/>
        <w:t>fulfil a request for information, it will attempt to provide advice and assistance to find the right authorities who can provide relevant information.</w:t>
      </w:r>
    </w:p>
    <w:p w14:paraId="05270143" w14:textId="77777777" w:rsidR="00104712" w:rsidRPr="00104712" w:rsidRDefault="00104712" w:rsidP="00104712">
      <w:pPr>
        <w:jc w:val="both"/>
        <w:rPr>
          <w:rFonts w:ascii="Arial" w:hAnsi="Arial" w:cs="Arial"/>
          <w:bCs/>
          <w:sz w:val="24"/>
          <w:szCs w:val="24"/>
        </w:rPr>
      </w:pPr>
    </w:p>
    <w:p w14:paraId="44681891" w14:textId="26F3812F" w:rsidR="00104712" w:rsidRPr="00104712" w:rsidRDefault="00104712" w:rsidP="00104712">
      <w:pPr>
        <w:rPr>
          <w:rFonts w:ascii="Arial" w:hAnsi="Arial" w:cs="Arial"/>
          <w:b/>
          <w:bCs/>
          <w:color w:val="2F5496" w:themeColor="accent1" w:themeShade="BF"/>
          <w:sz w:val="24"/>
          <w:szCs w:val="24"/>
        </w:rPr>
      </w:pPr>
      <w:bookmarkStart w:id="29" w:name="_Toc70317861"/>
      <w:bookmarkStart w:id="30" w:name="_Toc70317901"/>
      <w:r w:rsidRPr="00104712">
        <w:rPr>
          <w:rFonts w:ascii="Arial" w:hAnsi="Arial" w:cs="Arial"/>
          <w:b/>
          <w:bCs/>
          <w:color w:val="2F5496" w:themeColor="accent1" w:themeShade="BF"/>
          <w:sz w:val="24"/>
          <w:szCs w:val="24"/>
        </w:rPr>
        <w:t>Redaction of Information</w:t>
      </w:r>
      <w:bookmarkEnd w:id="29"/>
      <w:bookmarkEnd w:id="30"/>
    </w:p>
    <w:p w14:paraId="6883597A"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Redaction is a process which is carried out to make information unreadable or to remove exempt information from a document. This </w:t>
      </w:r>
      <w:proofErr w:type="gramStart"/>
      <w:r w:rsidRPr="00104712">
        <w:rPr>
          <w:rFonts w:ascii="Arial" w:hAnsi="Arial" w:cs="Arial"/>
          <w:sz w:val="24"/>
          <w:szCs w:val="24"/>
        </w:rPr>
        <w:t>is achieved</w:t>
      </w:r>
      <w:proofErr w:type="gramEnd"/>
      <w:r w:rsidRPr="00104712">
        <w:rPr>
          <w:rFonts w:ascii="Arial" w:hAnsi="Arial" w:cs="Arial"/>
          <w:sz w:val="24"/>
          <w:szCs w:val="24"/>
        </w:rPr>
        <w:t xml:space="preserve"> by blocking out individual words, sentences or paragraphs or by removing whole pages or sections of information prior to the release of the document.</w:t>
      </w:r>
    </w:p>
    <w:p w14:paraId="120C7F41"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However, if so much information is deemed to be exempt and the document becomes illegible the entire document will be withheld.</w:t>
      </w:r>
    </w:p>
    <w:p w14:paraId="047AA39A"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When responding under FOI the Practice will state what exemption the information has been redacted under and will be done for every exemption.</w:t>
      </w:r>
    </w:p>
    <w:p w14:paraId="6FE30D41" w14:textId="77777777" w:rsidR="00104712" w:rsidRPr="00104712" w:rsidRDefault="00104712" w:rsidP="00104712">
      <w:pPr>
        <w:jc w:val="both"/>
        <w:rPr>
          <w:rFonts w:ascii="Arial" w:hAnsi="Arial" w:cs="Arial"/>
          <w:sz w:val="24"/>
          <w:szCs w:val="24"/>
        </w:rPr>
      </w:pPr>
    </w:p>
    <w:p w14:paraId="74806D4C" w14:textId="2D3E9F9A" w:rsidR="00104712" w:rsidRPr="00104712" w:rsidRDefault="00104712" w:rsidP="00104712">
      <w:pPr>
        <w:rPr>
          <w:rFonts w:ascii="Arial" w:hAnsi="Arial" w:cs="Arial"/>
          <w:b/>
          <w:bCs/>
          <w:color w:val="2F5496" w:themeColor="accent1" w:themeShade="BF"/>
          <w:sz w:val="24"/>
          <w:szCs w:val="24"/>
        </w:rPr>
      </w:pPr>
      <w:bookmarkStart w:id="31" w:name="_Toc70317862"/>
      <w:bookmarkStart w:id="32" w:name="_Toc70317902"/>
      <w:r w:rsidRPr="00104712">
        <w:rPr>
          <w:rFonts w:ascii="Arial" w:hAnsi="Arial" w:cs="Arial"/>
          <w:b/>
          <w:bCs/>
          <w:color w:val="2F5496" w:themeColor="accent1" w:themeShade="BF"/>
          <w:sz w:val="24"/>
          <w:szCs w:val="24"/>
        </w:rPr>
        <w:t>Internal Review</w:t>
      </w:r>
      <w:bookmarkEnd w:id="31"/>
      <w:bookmarkEnd w:id="32"/>
    </w:p>
    <w:p w14:paraId="7DEDF205"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Requesters may ask the Practice to conduct an Internal Review of it’s handing of FOI requests. Internal Reviews consider decisions made, rationale, public interest, timeliness and all other relevant aspects of the requests.</w:t>
      </w:r>
    </w:p>
    <w:p w14:paraId="2C6A9BEF" w14:textId="14D51274"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w:t>
      </w:r>
      <w:r w:rsidR="00FA4401" w:rsidRPr="00FA4401">
        <w:rPr>
          <w:rFonts w:ascii="Arial" w:hAnsi="Arial" w:cs="Arial"/>
          <w:sz w:val="24"/>
          <w:szCs w:val="24"/>
        </w:rPr>
        <w:t>Practice Manager/Senior Partner</w:t>
      </w:r>
      <w:r w:rsidRPr="00104712">
        <w:rPr>
          <w:rFonts w:ascii="Arial" w:hAnsi="Arial" w:cs="Arial"/>
          <w:sz w:val="24"/>
          <w:szCs w:val="24"/>
        </w:rPr>
        <w:t xml:space="preserve"> will identify and communicate with all relevant staff that were active in the original request and invite them to review the handling of the request.</w:t>
      </w:r>
    </w:p>
    <w:p w14:paraId="10ECEBE1"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The Internal Review will be conducted within 20 working days or 40 working days if the review is shown to be complex. </w:t>
      </w:r>
    </w:p>
    <w:p w14:paraId="6C21D839"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Requesters who may remain unsatisfied with the outcome of the Internal Review will be advised that they can exercise their right to appeal to the Information Commissioner’s Office.</w:t>
      </w:r>
    </w:p>
    <w:p w14:paraId="6970F977" w14:textId="77777777" w:rsidR="00104712" w:rsidRPr="00104712" w:rsidRDefault="00104712" w:rsidP="00104712">
      <w:pPr>
        <w:jc w:val="both"/>
        <w:rPr>
          <w:rFonts w:ascii="Arial" w:hAnsi="Arial" w:cs="Arial"/>
          <w:sz w:val="24"/>
          <w:szCs w:val="24"/>
        </w:rPr>
      </w:pPr>
    </w:p>
    <w:p w14:paraId="2E1F46B0" w14:textId="25FB259C" w:rsidR="00104712" w:rsidRPr="00104712" w:rsidRDefault="00104712" w:rsidP="00104712">
      <w:pPr>
        <w:rPr>
          <w:rFonts w:ascii="Arial" w:hAnsi="Arial" w:cs="Arial"/>
          <w:b/>
          <w:bCs/>
          <w:color w:val="2F5496" w:themeColor="accent1" w:themeShade="BF"/>
          <w:sz w:val="24"/>
          <w:szCs w:val="24"/>
        </w:rPr>
      </w:pPr>
      <w:bookmarkStart w:id="33" w:name="_Toc70317863"/>
      <w:bookmarkStart w:id="34" w:name="_Toc70317903"/>
      <w:r w:rsidRPr="00104712">
        <w:rPr>
          <w:rFonts w:ascii="Arial" w:hAnsi="Arial" w:cs="Arial"/>
          <w:b/>
          <w:bCs/>
          <w:color w:val="2F5496" w:themeColor="accent1" w:themeShade="BF"/>
          <w:sz w:val="24"/>
          <w:szCs w:val="24"/>
        </w:rPr>
        <w:t>Vexatious/Repeated Requests</w:t>
      </w:r>
      <w:bookmarkEnd w:id="33"/>
      <w:bookmarkEnd w:id="34"/>
    </w:p>
    <w:p w14:paraId="00E79C77"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 xml:space="preserve">Section 14(1) of the FOI Act states: Section 1(1) does not oblige a public authority to comply with a request for information if  the request is vexatious. A vexatious request </w:t>
      </w:r>
      <w:proofErr w:type="gramStart"/>
      <w:r w:rsidRPr="00104712">
        <w:rPr>
          <w:rFonts w:ascii="Arial" w:hAnsi="Arial" w:cs="Arial"/>
          <w:sz w:val="24"/>
          <w:szCs w:val="24"/>
        </w:rPr>
        <w:t>is defined</w:t>
      </w:r>
      <w:proofErr w:type="gramEnd"/>
      <w:r w:rsidRPr="00104712">
        <w:rPr>
          <w:rFonts w:ascii="Arial" w:hAnsi="Arial" w:cs="Arial"/>
          <w:sz w:val="24"/>
          <w:szCs w:val="24"/>
        </w:rPr>
        <w:t xml:space="preserve"> as any request that has been submitted to cause disproportionate or unjustified levels of disruption, irritation or distress to the Practice.</w:t>
      </w:r>
    </w:p>
    <w:p w14:paraId="506A427E"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Section 14(2) of the FOI Act states: A request can be refused as repeated if;</w:t>
      </w:r>
    </w:p>
    <w:p w14:paraId="1785BDA2" w14:textId="77777777" w:rsidR="00104712" w:rsidRPr="00104712" w:rsidRDefault="00104712" w:rsidP="00104712">
      <w:pPr>
        <w:pStyle w:val="ListParagraph"/>
        <w:numPr>
          <w:ilvl w:val="0"/>
          <w:numId w:val="8"/>
        </w:numPr>
        <w:jc w:val="both"/>
        <w:rPr>
          <w:rFonts w:ascii="Arial" w:hAnsi="Arial" w:cs="Arial"/>
          <w:sz w:val="24"/>
          <w:szCs w:val="24"/>
        </w:rPr>
      </w:pPr>
      <w:r w:rsidRPr="00104712">
        <w:rPr>
          <w:rFonts w:ascii="Arial" w:hAnsi="Arial" w:cs="Arial"/>
          <w:sz w:val="24"/>
          <w:szCs w:val="24"/>
        </w:rPr>
        <w:t>It is made by the same person as a previous request;</w:t>
      </w:r>
    </w:p>
    <w:p w14:paraId="00C8B756" w14:textId="77777777" w:rsidR="00104712" w:rsidRPr="00104712" w:rsidRDefault="00104712" w:rsidP="00104712">
      <w:pPr>
        <w:pStyle w:val="ListParagraph"/>
        <w:numPr>
          <w:ilvl w:val="0"/>
          <w:numId w:val="8"/>
        </w:numPr>
        <w:jc w:val="both"/>
        <w:rPr>
          <w:rFonts w:ascii="Arial" w:hAnsi="Arial" w:cs="Arial"/>
          <w:sz w:val="24"/>
          <w:szCs w:val="24"/>
        </w:rPr>
      </w:pPr>
      <w:r w:rsidRPr="00104712">
        <w:rPr>
          <w:rFonts w:ascii="Arial" w:hAnsi="Arial" w:cs="Arial"/>
          <w:sz w:val="24"/>
          <w:szCs w:val="24"/>
        </w:rPr>
        <w:t>It is identical or substantially similar to the previous request; and</w:t>
      </w:r>
    </w:p>
    <w:p w14:paraId="2F2E1CA9" w14:textId="77777777" w:rsidR="00104712" w:rsidRPr="00104712" w:rsidRDefault="00104712" w:rsidP="00104712">
      <w:pPr>
        <w:pStyle w:val="ListParagraph"/>
        <w:numPr>
          <w:ilvl w:val="0"/>
          <w:numId w:val="8"/>
        </w:numPr>
        <w:jc w:val="both"/>
        <w:rPr>
          <w:rFonts w:ascii="Arial" w:hAnsi="Arial" w:cs="Arial"/>
          <w:sz w:val="24"/>
          <w:szCs w:val="24"/>
        </w:rPr>
      </w:pPr>
      <w:r w:rsidRPr="00104712">
        <w:rPr>
          <w:rFonts w:ascii="Arial" w:hAnsi="Arial" w:cs="Arial"/>
          <w:sz w:val="24"/>
          <w:szCs w:val="24"/>
        </w:rPr>
        <w:t>No reasonable interval has elapsed since the previous request.</w:t>
      </w:r>
    </w:p>
    <w:p w14:paraId="170E3EA3" w14:textId="31A5DF53" w:rsidR="00104712" w:rsidRDefault="00104712" w:rsidP="00104712">
      <w:pPr>
        <w:jc w:val="both"/>
        <w:rPr>
          <w:rFonts w:ascii="Arial" w:hAnsi="Arial" w:cs="Arial"/>
          <w:sz w:val="24"/>
          <w:szCs w:val="24"/>
        </w:rPr>
      </w:pPr>
      <w:r w:rsidRPr="00104712">
        <w:rPr>
          <w:rFonts w:ascii="Arial" w:hAnsi="Arial" w:cs="Arial"/>
          <w:sz w:val="24"/>
          <w:szCs w:val="24"/>
        </w:rPr>
        <w:t>Should a request be submitted that is deemed vexatious, or if it is a repeated request for identical or significantly similar information, the Practice will inform the requester that the request will not be fulfilled. The Practice will explain why they consider the request to be vexatious or repeated. The Practice will also indicate the requesters right to an internal review and or complain to the ICO.</w:t>
      </w:r>
    </w:p>
    <w:p w14:paraId="43754BCB" w14:textId="77777777" w:rsidR="00104712" w:rsidRPr="00104712" w:rsidRDefault="00104712" w:rsidP="00104712">
      <w:pPr>
        <w:jc w:val="both"/>
        <w:rPr>
          <w:rFonts w:ascii="Arial" w:hAnsi="Arial" w:cs="Arial"/>
          <w:sz w:val="24"/>
          <w:szCs w:val="24"/>
        </w:rPr>
      </w:pPr>
    </w:p>
    <w:p w14:paraId="1885BDE2" w14:textId="07DB1935" w:rsidR="00104712" w:rsidRPr="00104712" w:rsidRDefault="00104712" w:rsidP="00104712">
      <w:pPr>
        <w:rPr>
          <w:rFonts w:ascii="Arial" w:hAnsi="Arial" w:cs="Arial"/>
          <w:b/>
          <w:bCs/>
          <w:color w:val="2F5496" w:themeColor="accent1" w:themeShade="BF"/>
          <w:sz w:val="24"/>
          <w:szCs w:val="24"/>
        </w:rPr>
      </w:pPr>
      <w:bookmarkStart w:id="35" w:name="_Toc70317864"/>
      <w:bookmarkStart w:id="36" w:name="_Toc70317904"/>
      <w:r w:rsidRPr="00104712">
        <w:rPr>
          <w:rFonts w:ascii="Arial" w:hAnsi="Arial" w:cs="Arial"/>
          <w:b/>
          <w:bCs/>
          <w:color w:val="2F5496" w:themeColor="accent1" w:themeShade="BF"/>
          <w:sz w:val="24"/>
          <w:szCs w:val="24"/>
        </w:rPr>
        <w:t>Environmental Information Regulations 2004 (EIR)</w:t>
      </w:r>
      <w:bookmarkEnd w:id="35"/>
      <w:bookmarkEnd w:id="36"/>
    </w:p>
    <w:p w14:paraId="5DD24DF2"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lastRenderedPageBreak/>
        <w:t>Requests for information to the Practice which relate to the environment will be processed in accordance with the EIR. This includes, but is not limited to, all information about the impact on the elements and measures that might affect the environment.</w:t>
      </w:r>
    </w:p>
    <w:p w14:paraId="68052001" w14:textId="77777777" w:rsidR="00104712" w:rsidRPr="00104712" w:rsidRDefault="00104712" w:rsidP="00104712">
      <w:pPr>
        <w:jc w:val="both"/>
        <w:rPr>
          <w:rFonts w:ascii="Arial" w:hAnsi="Arial" w:cs="Arial"/>
          <w:sz w:val="24"/>
          <w:szCs w:val="24"/>
        </w:rPr>
      </w:pPr>
      <w:r w:rsidRPr="00104712">
        <w:rPr>
          <w:rFonts w:ascii="Arial" w:hAnsi="Arial" w:cs="Arial"/>
          <w:sz w:val="24"/>
          <w:szCs w:val="24"/>
        </w:rPr>
        <w:t>These requests will be responded to within the statutory time limit for responses under the EIR is 20 working days. The Practice may extend this by a further 20 working days if the request is deemed complex.</w:t>
      </w:r>
    </w:p>
    <w:p w14:paraId="27A9BBDA" w14:textId="77777777" w:rsidR="00104712" w:rsidRPr="00104712" w:rsidRDefault="00104712" w:rsidP="00104712">
      <w:pPr>
        <w:jc w:val="both"/>
        <w:rPr>
          <w:rFonts w:ascii="Arial" w:hAnsi="Arial" w:cs="Arial"/>
          <w:sz w:val="24"/>
          <w:szCs w:val="24"/>
        </w:rPr>
      </w:pPr>
    </w:p>
    <w:p w14:paraId="35986CD8" w14:textId="77777777" w:rsidR="00104712" w:rsidRPr="00104712" w:rsidRDefault="00104712" w:rsidP="00104712">
      <w:pPr>
        <w:jc w:val="both"/>
        <w:rPr>
          <w:rFonts w:ascii="Arial" w:hAnsi="Arial" w:cs="Arial"/>
          <w:sz w:val="24"/>
          <w:szCs w:val="24"/>
        </w:rPr>
      </w:pPr>
    </w:p>
    <w:p w14:paraId="33945B5C" w14:textId="27D08645" w:rsidR="00104712" w:rsidRPr="00104712" w:rsidRDefault="00104712" w:rsidP="00104712">
      <w:pPr>
        <w:pStyle w:val="Heading1"/>
        <w:jc w:val="both"/>
        <w:rPr>
          <w:rFonts w:ascii="Arial" w:hAnsi="Arial" w:cs="Arial"/>
          <w:b/>
          <w:bCs/>
        </w:rPr>
      </w:pPr>
      <w:bookmarkStart w:id="37" w:name="_Toc70317865"/>
      <w:bookmarkStart w:id="38" w:name="_Toc70317905"/>
      <w:bookmarkStart w:id="39" w:name="_Toc70318367"/>
      <w:r w:rsidRPr="00104712">
        <w:rPr>
          <w:rFonts w:ascii="Arial" w:hAnsi="Arial" w:cs="Arial"/>
          <w:b/>
          <w:bCs/>
          <w:sz w:val="28"/>
          <w:szCs w:val="28"/>
        </w:rPr>
        <w:t>6.0</w:t>
      </w:r>
      <w:r w:rsidR="00173BB5">
        <w:rPr>
          <w:rFonts w:ascii="Arial" w:hAnsi="Arial" w:cs="Arial"/>
          <w:b/>
          <w:bCs/>
          <w:sz w:val="28"/>
          <w:szCs w:val="28"/>
        </w:rPr>
        <w:t xml:space="preserve"> </w:t>
      </w:r>
      <w:r w:rsidRPr="00104712">
        <w:rPr>
          <w:rFonts w:ascii="Arial" w:hAnsi="Arial" w:cs="Arial"/>
          <w:b/>
          <w:bCs/>
          <w:sz w:val="28"/>
          <w:szCs w:val="28"/>
        </w:rPr>
        <w:t>Publication Scheme</w:t>
      </w:r>
      <w:bookmarkEnd w:id="37"/>
      <w:bookmarkEnd w:id="38"/>
      <w:bookmarkEnd w:id="39"/>
    </w:p>
    <w:p w14:paraId="717AE651" w14:textId="0980CA2D" w:rsidR="00104712" w:rsidRPr="00104712" w:rsidRDefault="00104712" w:rsidP="00FA4401">
      <w:pPr>
        <w:jc w:val="both"/>
        <w:rPr>
          <w:rFonts w:ascii="Arial" w:hAnsi="Arial" w:cs="Arial"/>
          <w:sz w:val="24"/>
          <w:szCs w:val="24"/>
        </w:rPr>
      </w:pPr>
      <w:r w:rsidRPr="00104712">
        <w:rPr>
          <w:rFonts w:ascii="Arial" w:hAnsi="Arial" w:cs="Arial"/>
          <w:sz w:val="24"/>
          <w:szCs w:val="24"/>
        </w:rPr>
        <w:t xml:space="preserve">The Practice will regularly publish information on our website </w:t>
      </w:r>
      <w:hyperlink r:id="rId11" w:history="1">
        <w:r w:rsidR="00FA4401" w:rsidRPr="00AD796D">
          <w:rPr>
            <w:rStyle w:val="Hyperlink"/>
            <w:rFonts w:ascii="Arial" w:hAnsi="Arial" w:cs="Arial"/>
            <w:sz w:val="24"/>
            <w:szCs w:val="24"/>
          </w:rPr>
          <w:t>www.woodlandssurgerymaesteg.co.uk</w:t>
        </w:r>
      </w:hyperlink>
      <w:r w:rsidR="00FA4401">
        <w:rPr>
          <w:rFonts w:ascii="Arial" w:hAnsi="Arial" w:cs="Arial"/>
          <w:sz w:val="24"/>
          <w:szCs w:val="24"/>
        </w:rPr>
        <w:t xml:space="preserve"> </w:t>
      </w:r>
    </w:p>
    <w:p w14:paraId="12E29E4D" w14:textId="77777777" w:rsidR="00104712" w:rsidRPr="00104712" w:rsidRDefault="00104712" w:rsidP="00104712">
      <w:pPr>
        <w:jc w:val="both"/>
        <w:rPr>
          <w:rFonts w:ascii="Arial" w:hAnsi="Arial" w:cs="Arial"/>
          <w:sz w:val="24"/>
          <w:szCs w:val="24"/>
        </w:rPr>
      </w:pPr>
    </w:p>
    <w:p w14:paraId="1ADFA09B" w14:textId="77777777" w:rsidR="00104712" w:rsidRPr="00104712" w:rsidRDefault="00104712" w:rsidP="00104712">
      <w:pPr>
        <w:pStyle w:val="Heading1"/>
        <w:jc w:val="both"/>
        <w:rPr>
          <w:rFonts w:ascii="Arial" w:hAnsi="Arial" w:cs="Arial"/>
          <w:sz w:val="28"/>
          <w:szCs w:val="28"/>
        </w:rPr>
      </w:pPr>
      <w:bookmarkStart w:id="40" w:name="_Toc37059912"/>
      <w:bookmarkStart w:id="41" w:name="_Toc70317866"/>
      <w:bookmarkStart w:id="42" w:name="_Toc70317906"/>
      <w:bookmarkStart w:id="43" w:name="_Toc70318368"/>
      <w:r w:rsidRPr="00104712">
        <w:rPr>
          <w:rFonts w:ascii="Arial" w:hAnsi="Arial" w:cs="Arial"/>
          <w:b/>
          <w:sz w:val="28"/>
          <w:szCs w:val="28"/>
        </w:rPr>
        <w:t>7.0 Review</w:t>
      </w:r>
      <w:bookmarkEnd w:id="40"/>
      <w:bookmarkEnd w:id="41"/>
      <w:bookmarkEnd w:id="42"/>
      <w:bookmarkEnd w:id="43"/>
      <w:r w:rsidRPr="00104712">
        <w:rPr>
          <w:rFonts w:ascii="Arial" w:hAnsi="Arial" w:cs="Arial"/>
          <w:sz w:val="28"/>
          <w:szCs w:val="28"/>
        </w:rPr>
        <w:t xml:space="preserve"> </w:t>
      </w:r>
    </w:p>
    <w:p w14:paraId="1021095E" w14:textId="77777777" w:rsidR="00104712" w:rsidRPr="00104712" w:rsidRDefault="00104712" w:rsidP="00104712">
      <w:pPr>
        <w:spacing w:after="0" w:line="240" w:lineRule="auto"/>
        <w:jc w:val="both"/>
        <w:rPr>
          <w:rFonts w:ascii="Arial" w:hAnsi="Arial" w:cs="Arial"/>
          <w:sz w:val="24"/>
        </w:rPr>
      </w:pPr>
      <w:r w:rsidRPr="00104712">
        <w:rPr>
          <w:rFonts w:ascii="Arial" w:hAnsi="Arial" w:cs="Arial"/>
          <w:sz w:val="24"/>
        </w:rPr>
        <w:t xml:space="preserve">This policy will be reviewed every two years or more frequently where the contents are affected by major internal or external changes such as: </w:t>
      </w:r>
    </w:p>
    <w:p w14:paraId="5E711152" w14:textId="77777777" w:rsidR="00104712" w:rsidRPr="00104712" w:rsidRDefault="00104712" w:rsidP="00104712">
      <w:pPr>
        <w:pStyle w:val="ListParagraph"/>
        <w:numPr>
          <w:ilvl w:val="0"/>
          <w:numId w:val="9"/>
        </w:numPr>
        <w:spacing w:after="0" w:line="240" w:lineRule="auto"/>
        <w:jc w:val="both"/>
        <w:rPr>
          <w:rFonts w:ascii="Arial" w:hAnsi="Arial" w:cs="Arial"/>
          <w:sz w:val="24"/>
        </w:rPr>
      </w:pPr>
      <w:r w:rsidRPr="00104712">
        <w:rPr>
          <w:rFonts w:ascii="Arial" w:hAnsi="Arial" w:cs="Arial"/>
          <w:sz w:val="24"/>
        </w:rPr>
        <w:t>Changes in legislation;</w:t>
      </w:r>
    </w:p>
    <w:p w14:paraId="32B25D24" w14:textId="77777777" w:rsidR="00104712" w:rsidRPr="00104712" w:rsidRDefault="00104712" w:rsidP="00104712">
      <w:pPr>
        <w:pStyle w:val="ListParagraph"/>
        <w:numPr>
          <w:ilvl w:val="0"/>
          <w:numId w:val="9"/>
        </w:numPr>
        <w:spacing w:after="0" w:line="240" w:lineRule="auto"/>
        <w:jc w:val="both"/>
        <w:rPr>
          <w:rFonts w:ascii="Arial" w:hAnsi="Arial" w:cs="Arial"/>
          <w:sz w:val="24"/>
        </w:rPr>
      </w:pPr>
      <w:r w:rsidRPr="00104712">
        <w:rPr>
          <w:rFonts w:ascii="Arial" w:hAnsi="Arial" w:cs="Arial"/>
          <w:sz w:val="24"/>
        </w:rPr>
        <w:t>Practice change or change in system/technology;</w:t>
      </w:r>
    </w:p>
    <w:p w14:paraId="7FAC0C8F" w14:textId="77777777" w:rsidR="00104712" w:rsidRPr="00104712" w:rsidRDefault="00104712" w:rsidP="00104712">
      <w:pPr>
        <w:pStyle w:val="ListParagraph"/>
        <w:numPr>
          <w:ilvl w:val="0"/>
          <w:numId w:val="9"/>
        </w:numPr>
        <w:spacing w:after="0" w:line="240" w:lineRule="auto"/>
        <w:jc w:val="both"/>
        <w:rPr>
          <w:rFonts w:ascii="Arial" w:hAnsi="Arial" w:cs="Arial"/>
          <w:sz w:val="24"/>
        </w:rPr>
      </w:pPr>
      <w:r w:rsidRPr="00104712">
        <w:rPr>
          <w:rFonts w:ascii="Arial" w:hAnsi="Arial" w:cs="Arial"/>
          <w:sz w:val="24"/>
        </w:rPr>
        <w:t>Change in Senior personnel e.g. Practice Manager or Senior Partner or;</w:t>
      </w:r>
    </w:p>
    <w:p w14:paraId="066ACC07" w14:textId="77777777" w:rsidR="00104712" w:rsidRPr="00104712" w:rsidRDefault="00104712" w:rsidP="00104712">
      <w:pPr>
        <w:pStyle w:val="ListParagraph"/>
        <w:numPr>
          <w:ilvl w:val="0"/>
          <w:numId w:val="9"/>
        </w:numPr>
        <w:spacing w:after="0" w:line="240" w:lineRule="auto"/>
        <w:jc w:val="both"/>
        <w:rPr>
          <w:rFonts w:ascii="Arial" w:hAnsi="Arial" w:cs="Arial"/>
          <w:sz w:val="24"/>
        </w:rPr>
      </w:pPr>
      <w:r w:rsidRPr="00104712">
        <w:rPr>
          <w:rFonts w:ascii="Arial" w:hAnsi="Arial" w:cs="Arial"/>
          <w:sz w:val="24"/>
        </w:rPr>
        <w:t>Changing methodology.</w:t>
      </w:r>
      <w:bookmarkStart w:id="44" w:name="_Toc30673642"/>
    </w:p>
    <w:p w14:paraId="4A21E89B" w14:textId="77777777" w:rsidR="00104712" w:rsidRPr="00104712" w:rsidRDefault="00104712" w:rsidP="00104712">
      <w:pPr>
        <w:spacing w:after="0" w:line="240" w:lineRule="auto"/>
        <w:jc w:val="both"/>
        <w:rPr>
          <w:rFonts w:ascii="Arial" w:hAnsi="Arial" w:cs="Arial"/>
          <w:sz w:val="24"/>
        </w:rPr>
      </w:pPr>
    </w:p>
    <w:p w14:paraId="11E567C4" w14:textId="77777777" w:rsidR="00104712" w:rsidRPr="00104712" w:rsidRDefault="00104712" w:rsidP="00104712">
      <w:pPr>
        <w:spacing w:after="0" w:line="240" w:lineRule="auto"/>
        <w:jc w:val="both"/>
        <w:rPr>
          <w:rFonts w:ascii="Arial" w:hAnsi="Arial" w:cs="Arial"/>
          <w:sz w:val="24"/>
        </w:rPr>
      </w:pPr>
    </w:p>
    <w:p w14:paraId="28CA7B6F" w14:textId="77777777" w:rsidR="00104712" w:rsidRPr="00104712" w:rsidRDefault="00104712" w:rsidP="00104712">
      <w:pPr>
        <w:spacing w:after="0" w:line="240" w:lineRule="auto"/>
        <w:jc w:val="both"/>
        <w:rPr>
          <w:rFonts w:ascii="Arial" w:hAnsi="Arial" w:cs="Arial"/>
          <w:sz w:val="24"/>
        </w:rPr>
      </w:pPr>
    </w:p>
    <w:p w14:paraId="7AEE11C2" w14:textId="77777777" w:rsidR="00104712" w:rsidRPr="00173BB5" w:rsidRDefault="00104712" w:rsidP="00104712">
      <w:pPr>
        <w:pStyle w:val="Heading1"/>
        <w:jc w:val="both"/>
        <w:rPr>
          <w:rFonts w:ascii="Arial" w:hAnsi="Arial" w:cs="Arial"/>
          <w:b/>
          <w:sz w:val="24"/>
          <w:szCs w:val="24"/>
        </w:rPr>
      </w:pPr>
      <w:bookmarkStart w:id="45" w:name="EqualityImpactAssessment"/>
      <w:bookmarkStart w:id="46" w:name="_Toc36813994"/>
      <w:bookmarkStart w:id="47" w:name="_Toc37059913"/>
      <w:bookmarkStart w:id="48" w:name="_Toc70317867"/>
      <w:bookmarkStart w:id="49" w:name="_Toc70317907"/>
      <w:bookmarkStart w:id="50" w:name="_Toc70318369"/>
      <w:r w:rsidRPr="00173BB5">
        <w:rPr>
          <w:rFonts w:ascii="Arial" w:hAnsi="Arial" w:cs="Arial"/>
          <w:b/>
          <w:sz w:val="28"/>
          <w:szCs w:val="28"/>
        </w:rPr>
        <w:t>8.0 Equality Impact Assessment</w:t>
      </w:r>
      <w:bookmarkEnd w:id="44"/>
      <w:bookmarkEnd w:id="45"/>
      <w:bookmarkEnd w:id="46"/>
      <w:bookmarkEnd w:id="47"/>
      <w:bookmarkEnd w:id="48"/>
      <w:bookmarkEnd w:id="49"/>
      <w:bookmarkEnd w:id="50"/>
      <w:r w:rsidRPr="00173BB5">
        <w:rPr>
          <w:rFonts w:ascii="Arial" w:hAnsi="Arial" w:cs="Arial"/>
          <w:b/>
          <w:sz w:val="28"/>
          <w:szCs w:val="28"/>
        </w:rPr>
        <w:t xml:space="preserve"> </w:t>
      </w:r>
    </w:p>
    <w:p w14:paraId="1A2C47C6" w14:textId="77777777" w:rsidR="00104712" w:rsidRPr="00FA4401" w:rsidRDefault="00104712" w:rsidP="00104712">
      <w:pPr>
        <w:spacing w:after="0" w:line="240" w:lineRule="auto"/>
        <w:jc w:val="both"/>
        <w:rPr>
          <w:rFonts w:ascii="Arial" w:hAnsi="Arial" w:cs="Arial"/>
          <w:sz w:val="24"/>
        </w:rPr>
      </w:pPr>
      <w:r w:rsidRPr="00FA4401">
        <w:rPr>
          <w:rFonts w:ascii="Arial" w:hAnsi="Arial" w:cs="Arial"/>
          <w:sz w:val="24"/>
        </w:rPr>
        <w:t xml:space="preserve">This policy has been subject to an equality assessment. </w:t>
      </w:r>
    </w:p>
    <w:p w14:paraId="2FCA39FE" w14:textId="77777777" w:rsidR="00104712" w:rsidRPr="00FA4401" w:rsidRDefault="00104712" w:rsidP="00104712">
      <w:pPr>
        <w:spacing w:after="0" w:line="240" w:lineRule="auto"/>
        <w:ind w:firstLine="360"/>
        <w:jc w:val="both"/>
        <w:rPr>
          <w:rFonts w:ascii="Arial" w:hAnsi="Arial" w:cs="Arial"/>
          <w:sz w:val="24"/>
        </w:rPr>
      </w:pPr>
    </w:p>
    <w:p w14:paraId="7C1F8E8D" w14:textId="77777777" w:rsidR="00104712" w:rsidRPr="00104712" w:rsidRDefault="00104712" w:rsidP="00104712">
      <w:pPr>
        <w:spacing w:after="0" w:line="240" w:lineRule="auto"/>
        <w:jc w:val="both"/>
        <w:rPr>
          <w:rFonts w:ascii="Arial" w:hAnsi="Arial" w:cs="Arial"/>
          <w:sz w:val="24"/>
        </w:rPr>
      </w:pPr>
      <w:r w:rsidRPr="00FA4401">
        <w:rPr>
          <w:rFonts w:ascii="Arial" w:hAnsi="Arial" w:cs="Arial"/>
          <w:sz w:val="24"/>
        </w:rPr>
        <w:t xml:space="preserve">Following assessment, this policy </w:t>
      </w:r>
      <w:proofErr w:type="gramStart"/>
      <w:r w:rsidRPr="00FA4401">
        <w:rPr>
          <w:rFonts w:ascii="Arial" w:hAnsi="Arial" w:cs="Arial"/>
          <w:sz w:val="24"/>
        </w:rPr>
        <w:t>was not felt</w:t>
      </w:r>
      <w:proofErr w:type="gramEnd"/>
      <w:r w:rsidRPr="00FA4401">
        <w:rPr>
          <w:rFonts w:ascii="Arial" w:hAnsi="Arial" w:cs="Arial"/>
          <w:sz w:val="24"/>
        </w:rPr>
        <w:t xml:space="preserve"> to be discriminatory or detrimental in any way with regard to the protected characteristics, the Welsh Language or carers.</w:t>
      </w:r>
    </w:p>
    <w:p w14:paraId="61ACA9C9" w14:textId="77777777" w:rsidR="00104712" w:rsidRPr="00104712" w:rsidRDefault="00104712" w:rsidP="00104712">
      <w:pPr>
        <w:spacing w:after="0" w:line="240" w:lineRule="auto"/>
        <w:ind w:left="360"/>
        <w:jc w:val="both"/>
        <w:rPr>
          <w:rFonts w:ascii="Arial" w:hAnsi="Arial" w:cs="Arial"/>
          <w:sz w:val="24"/>
        </w:rPr>
      </w:pPr>
    </w:p>
    <w:p w14:paraId="1A372C2F" w14:textId="77777777" w:rsidR="00C3255B" w:rsidRPr="00104712" w:rsidRDefault="00C3255B" w:rsidP="00104712">
      <w:pPr>
        <w:jc w:val="both"/>
        <w:rPr>
          <w:rFonts w:ascii="Arial" w:hAnsi="Arial" w:cs="Arial"/>
        </w:rPr>
      </w:pPr>
    </w:p>
    <w:p w14:paraId="51A6B681" w14:textId="0CEFDE31" w:rsidR="00C3255B" w:rsidRPr="00104712" w:rsidRDefault="00C3255B" w:rsidP="00104712">
      <w:pPr>
        <w:jc w:val="both"/>
        <w:rPr>
          <w:rFonts w:ascii="Arial" w:hAnsi="Arial" w:cs="Arial"/>
        </w:rPr>
      </w:pPr>
      <w:bookmarkStart w:id="51" w:name="_GoBack"/>
      <w:bookmarkEnd w:id="51"/>
      <w:r w:rsidRPr="00104712">
        <w:rPr>
          <w:rFonts w:ascii="Arial" w:hAnsi="Arial" w:cs="Arial"/>
        </w:rPr>
        <w:br w:type="page"/>
      </w:r>
    </w:p>
    <w:sectPr w:rsidR="00C3255B" w:rsidRPr="00104712" w:rsidSect="000F35C9">
      <w:footerReference w:type="default" r:id="rId1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7140" w14:textId="77777777" w:rsidR="00F849B9" w:rsidRDefault="00F849B9" w:rsidP="00FC5C88">
      <w:pPr>
        <w:spacing w:after="0" w:line="240" w:lineRule="auto"/>
      </w:pPr>
      <w:r>
        <w:separator/>
      </w:r>
    </w:p>
  </w:endnote>
  <w:endnote w:type="continuationSeparator" w:id="0">
    <w:p w14:paraId="4634BB3A" w14:textId="77777777" w:rsidR="00F849B9" w:rsidRDefault="00F849B9"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C6DE" w14:textId="69B16122"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lang w:eastAsia="en-GB"/>
      </w:rPr>
      <w:drawing>
        <wp:anchor distT="0" distB="0" distL="114300" distR="114300" simplePos="0" relativeHeight="251658240" behindDoc="1" locked="0" layoutInCell="1" allowOverlap="1" wp14:anchorId="09AE9833" wp14:editId="0A11A523">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A4401">
      <w:rPr>
        <w:rFonts w:asciiTheme="majorHAnsi" w:eastAsiaTheme="majorEastAsia" w:hAnsiTheme="majorHAnsi" w:cstheme="majorBidi"/>
        <w:noProof/>
        <w:color w:val="21305E"/>
        <w:sz w:val="26"/>
        <w:szCs w:val="26"/>
      </w:rPr>
      <w:t>8</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1F43E561"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903D" w14:textId="77777777" w:rsidR="00F849B9" w:rsidRDefault="00F849B9" w:rsidP="00FC5C88">
      <w:pPr>
        <w:spacing w:after="0" w:line="240" w:lineRule="auto"/>
      </w:pPr>
      <w:r>
        <w:separator/>
      </w:r>
    </w:p>
  </w:footnote>
  <w:footnote w:type="continuationSeparator" w:id="0">
    <w:p w14:paraId="3A859989" w14:textId="77777777" w:rsidR="00F849B9" w:rsidRDefault="00F849B9"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09"/>
    <w:multiLevelType w:val="hybridMultilevel"/>
    <w:tmpl w:val="11D0DEBA"/>
    <w:lvl w:ilvl="0" w:tplc="4EF6BBE4">
      <w:start w:val="2"/>
      <w:numFmt w:val="bullet"/>
      <w:lvlText w:val="•"/>
      <w:lvlJc w:val="left"/>
      <w:pPr>
        <w:ind w:left="1080" w:hanging="360"/>
      </w:pPr>
      <w:rPr>
        <w:rFonts w:ascii="Calibri" w:eastAsiaTheme="minorHAnsi" w:hAnsi="Calibri" w:cstheme="minorHAnsi"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start w:val="1"/>
      <w:numFmt w:val="bullet"/>
      <w:lvlText w:val=""/>
      <w:lvlJc w:val="left"/>
      <w:pPr>
        <w:ind w:left="3180" w:hanging="360"/>
      </w:pPr>
      <w:rPr>
        <w:rFonts w:ascii="Symbol" w:hAnsi="Symbol" w:hint="default"/>
      </w:rPr>
    </w:lvl>
    <w:lvl w:ilvl="4" w:tplc="08090003">
      <w:start w:val="1"/>
      <w:numFmt w:val="bullet"/>
      <w:lvlText w:val="o"/>
      <w:lvlJc w:val="left"/>
      <w:pPr>
        <w:ind w:left="3900" w:hanging="360"/>
      </w:pPr>
      <w:rPr>
        <w:rFonts w:ascii="Courier New" w:hAnsi="Courier New" w:cs="Courier New" w:hint="default"/>
      </w:rPr>
    </w:lvl>
    <w:lvl w:ilvl="5" w:tplc="08090005">
      <w:start w:val="1"/>
      <w:numFmt w:val="bullet"/>
      <w:lvlText w:val=""/>
      <w:lvlJc w:val="left"/>
      <w:pPr>
        <w:ind w:left="4620" w:hanging="360"/>
      </w:pPr>
      <w:rPr>
        <w:rFonts w:ascii="Wingdings" w:hAnsi="Wingdings" w:hint="default"/>
      </w:rPr>
    </w:lvl>
    <w:lvl w:ilvl="6" w:tplc="08090001">
      <w:start w:val="1"/>
      <w:numFmt w:val="bullet"/>
      <w:lvlText w:val=""/>
      <w:lvlJc w:val="left"/>
      <w:pPr>
        <w:ind w:left="5340" w:hanging="360"/>
      </w:pPr>
      <w:rPr>
        <w:rFonts w:ascii="Symbol" w:hAnsi="Symbol" w:hint="default"/>
      </w:rPr>
    </w:lvl>
    <w:lvl w:ilvl="7" w:tplc="08090003">
      <w:start w:val="1"/>
      <w:numFmt w:val="bullet"/>
      <w:lvlText w:val="o"/>
      <w:lvlJc w:val="left"/>
      <w:pPr>
        <w:ind w:left="6060" w:hanging="360"/>
      </w:pPr>
      <w:rPr>
        <w:rFonts w:ascii="Courier New" w:hAnsi="Courier New" w:cs="Courier New" w:hint="default"/>
      </w:rPr>
    </w:lvl>
    <w:lvl w:ilvl="8" w:tplc="08090005">
      <w:start w:val="1"/>
      <w:numFmt w:val="bullet"/>
      <w:lvlText w:val=""/>
      <w:lvlJc w:val="left"/>
      <w:pPr>
        <w:ind w:left="6780" w:hanging="360"/>
      </w:pPr>
      <w:rPr>
        <w:rFonts w:ascii="Wingdings" w:hAnsi="Wingdings" w:hint="default"/>
      </w:rPr>
    </w:lvl>
  </w:abstractNum>
  <w:abstractNum w:abstractNumId="1" w15:restartNumberingAfterBreak="0">
    <w:nsid w:val="1CD547A4"/>
    <w:multiLevelType w:val="hybridMultilevel"/>
    <w:tmpl w:val="675E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3A02AE"/>
    <w:multiLevelType w:val="multilevel"/>
    <w:tmpl w:val="784432E8"/>
    <w:lvl w:ilvl="0">
      <w:start w:val="1"/>
      <w:numFmt w:val="decimal"/>
      <w:lvlText w:val="%1.0"/>
      <w:lvlJc w:val="left"/>
      <w:pPr>
        <w:ind w:left="420" w:hanging="420"/>
      </w:pPr>
      <w:rPr>
        <w:color w:val="2F5496" w:themeColor="accent1" w:themeShade="BF"/>
      </w:r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331324B8"/>
    <w:multiLevelType w:val="hybridMultilevel"/>
    <w:tmpl w:val="B094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AC3E33"/>
    <w:multiLevelType w:val="hybridMultilevel"/>
    <w:tmpl w:val="B5D09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6E6EF4"/>
    <w:multiLevelType w:val="hybridMultilevel"/>
    <w:tmpl w:val="BCDA7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CF0207"/>
    <w:multiLevelType w:val="hybridMultilevel"/>
    <w:tmpl w:val="0596C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1F33BF"/>
    <w:multiLevelType w:val="hybridMultilevel"/>
    <w:tmpl w:val="B0D20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1856D6"/>
    <w:multiLevelType w:val="hybridMultilevel"/>
    <w:tmpl w:val="35E2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2"/>
    <w:rsid w:val="0002395C"/>
    <w:rsid w:val="00040532"/>
    <w:rsid w:val="000F35C9"/>
    <w:rsid w:val="00104712"/>
    <w:rsid w:val="00173BB5"/>
    <w:rsid w:val="002D5E5D"/>
    <w:rsid w:val="0037665A"/>
    <w:rsid w:val="003D7DA5"/>
    <w:rsid w:val="004352DA"/>
    <w:rsid w:val="00441486"/>
    <w:rsid w:val="00464AC4"/>
    <w:rsid w:val="004E4C88"/>
    <w:rsid w:val="006045C9"/>
    <w:rsid w:val="007019B5"/>
    <w:rsid w:val="00725A24"/>
    <w:rsid w:val="00807910"/>
    <w:rsid w:val="0096561C"/>
    <w:rsid w:val="00A44EBE"/>
    <w:rsid w:val="00AE7B4D"/>
    <w:rsid w:val="00B65212"/>
    <w:rsid w:val="00C3255B"/>
    <w:rsid w:val="00D0673C"/>
    <w:rsid w:val="00F849B9"/>
    <w:rsid w:val="00FA4401"/>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1F655"/>
  <w15:chartTrackingRefBased/>
  <w15:docId w15:val="{82351B07-7739-4820-AA21-7FF98FAD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71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4712"/>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character" w:customStyle="1" w:styleId="Heading1Char">
    <w:name w:val="Heading 1 Char"/>
    <w:basedOn w:val="DefaultParagraphFont"/>
    <w:link w:val="Heading1"/>
    <w:uiPriority w:val="9"/>
    <w:rsid w:val="001047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47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4712"/>
    <w:rPr>
      <w:color w:val="0563C1" w:themeColor="hyperlink"/>
      <w:u w:val="single"/>
    </w:rPr>
  </w:style>
  <w:style w:type="paragraph" w:styleId="TOC1">
    <w:name w:val="toc 1"/>
    <w:basedOn w:val="Normal"/>
    <w:next w:val="Normal"/>
    <w:autoRedefine/>
    <w:uiPriority w:val="39"/>
    <w:unhideWhenUsed/>
    <w:rsid w:val="00104712"/>
    <w:pPr>
      <w:tabs>
        <w:tab w:val="left" w:pos="660"/>
        <w:tab w:val="right" w:leader="dot" w:pos="9016"/>
      </w:tabs>
      <w:spacing w:after="100" w:line="256" w:lineRule="auto"/>
      <w:jc w:val="both"/>
    </w:pPr>
    <w:rPr>
      <w:rFonts w:cstheme="minorHAnsi"/>
      <w:b/>
      <w:bCs/>
      <w:noProof/>
      <w:sz w:val="24"/>
      <w:szCs w:val="24"/>
    </w:rPr>
  </w:style>
  <w:style w:type="paragraph" w:styleId="TOC2">
    <w:name w:val="toc 2"/>
    <w:basedOn w:val="Normal"/>
    <w:next w:val="Normal"/>
    <w:autoRedefine/>
    <w:uiPriority w:val="39"/>
    <w:unhideWhenUsed/>
    <w:rsid w:val="00104712"/>
    <w:pPr>
      <w:spacing w:after="100" w:line="256" w:lineRule="auto"/>
      <w:ind w:left="220"/>
    </w:pPr>
    <w:rPr>
      <w:rFonts w:eastAsiaTheme="minorEastAsia" w:cs="Times New Roman"/>
      <w:lang w:val="en-US"/>
    </w:rPr>
  </w:style>
  <w:style w:type="paragraph" w:styleId="ListParagraph">
    <w:name w:val="List Paragraph"/>
    <w:basedOn w:val="Normal"/>
    <w:uiPriority w:val="34"/>
    <w:qFormat/>
    <w:rsid w:val="00104712"/>
    <w:pPr>
      <w:spacing w:line="256" w:lineRule="auto"/>
      <w:ind w:left="720"/>
      <w:contextualSpacing/>
    </w:pPr>
  </w:style>
  <w:style w:type="paragraph" w:styleId="TOCHeading">
    <w:name w:val="TOC Heading"/>
    <w:basedOn w:val="Heading1"/>
    <w:next w:val="Normal"/>
    <w:uiPriority w:val="39"/>
    <w:unhideWhenUsed/>
    <w:qFormat/>
    <w:rsid w:val="00104712"/>
    <w:pPr>
      <w:outlineLvl w:val="9"/>
    </w:pPr>
    <w:rPr>
      <w:lang w:val="en-US"/>
    </w:rPr>
  </w:style>
  <w:style w:type="paragraph" w:styleId="NoSpacing">
    <w:name w:val="No Spacing"/>
    <w:uiPriority w:val="1"/>
    <w:qFormat/>
    <w:rsid w:val="00104712"/>
    <w:pPr>
      <w:spacing w:after="0" w:line="240" w:lineRule="auto"/>
    </w:pPr>
  </w:style>
  <w:style w:type="character" w:styleId="FollowedHyperlink">
    <w:name w:val="FollowedHyperlink"/>
    <w:basedOn w:val="DefaultParagraphFont"/>
    <w:uiPriority w:val="99"/>
    <w:semiHidden/>
    <w:unhideWhenUsed/>
    <w:rsid w:val="00FA4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dlandssurgerymaesteg.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DDF7-FF40-4B8C-96FF-A19362230B59}">
  <ds:schemaRefs>
    <ds:schemaRef ds:uri="e0aca856-062d-4f51-b0bf-62957c7bf4e7"/>
    <ds:schemaRef ds:uri="http://purl.org/dc/dcmitype/"/>
    <ds:schemaRef ds:uri="http://purl.org/dc/elements/1.1/"/>
    <ds:schemaRef ds:uri="http://schemas.microsoft.com/office/2006/metadata/properties"/>
    <ds:schemaRef ds:uri="http://schemas.openxmlformats.org/package/2006/metadata/core-properties"/>
    <ds:schemaRef ds:uri="c6c83189-b5c3-439f-a5e1-cc528a58e10d"/>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1</TotalTime>
  <Pages>9</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Karen Smith (Caerau - Woodlands Surgery)</cp:lastModifiedBy>
  <cp:revision>2</cp:revision>
  <dcterms:created xsi:type="dcterms:W3CDTF">2021-09-30T14:57:00Z</dcterms:created>
  <dcterms:modified xsi:type="dcterms:W3CDTF">2021-09-30T14:57:00Z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